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25D79">
      <w:pPr>
        <w:spacing w:line="560" w:lineRule="exact"/>
        <w:ind w:left="0" w:leftChars="0" w:firstLine="0" w:firstLineChars="0"/>
        <w:jc w:val="left"/>
        <w:outlineLvl w:val="9"/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/>
        </w:rPr>
        <w:t>附件7：</w:t>
      </w:r>
    </w:p>
    <w:p w14:paraId="63F770A3">
      <w:pPr>
        <w:spacing w:line="560" w:lineRule="exact"/>
        <w:ind w:left="0" w:leftChars="0" w:firstLine="0" w:firstLineChars="0"/>
        <w:jc w:val="center"/>
        <w:outlineLvl w:val="9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/>
        </w:rPr>
        <w:t>报价表</w:t>
      </w:r>
    </w:p>
    <w:p w14:paraId="2572AE7E">
      <w:pPr>
        <w:pStyle w:val="2"/>
        <w:rPr>
          <w:rFonts w:hint="eastAsia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CE56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116ACBC">
            <w:pPr>
              <w:pStyle w:val="2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经营费底价报价（万元/年）</w:t>
            </w:r>
          </w:p>
        </w:tc>
        <w:tc>
          <w:tcPr>
            <w:tcW w:w="4261" w:type="dxa"/>
          </w:tcPr>
          <w:p w14:paraId="69D903EE">
            <w:pPr>
              <w:pStyle w:val="2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F4B4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FCD61AD">
            <w:pPr>
              <w:pStyle w:val="2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递增比例报价</w:t>
            </w:r>
          </w:p>
        </w:tc>
        <w:tc>
          <w:tcPr>
            <w:tcW w:w="4261" w:type="dxa"/>
          </w:tcPr>
          <w:p w14:paraId="513AF7CD">
            <w:pPr>
              <w:pStyle w:val="2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17856A6F"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</w:t>
      </w:r>
      <w:r>
        <w:rPr>
          <w:rFonts w:hint="eastAsia" w:ascii="仿宋_GB2312" w:hAnsi="仿宋_GB2312" w:eastAsia="仿宋_GB2312" w:cs="仿宋_GB2312"/>
          <w:spacing w:val="-10"/>
          <w:kern w:val="28"/>
          <w:sz w:val="28"/>
          <w:szCs w:val="28"/>
          <w:lang w:val="en-US" w:eastAsia="zh-CN" w:bidi="ar-SA"/>
        </w:rPr>
        <w:t>：1.经营费底价报价报价不低于301.2744万元/年的标准进行报价，报价须大于</w:t>
      </w:r>
      <w:r>
        <w:rPr>
          <w:rFonts w:hint="eastAsia" w:ascii="仿宋_GB2312" w:hAnsi="仿宋_GB2312" w:eastAsia="仿宋_GB2312" w:cs="仿宋_GB2312"/>
          <w:spacing w:val="-10"/>
          <w:kern w:val="28"/>
          <w:sz w:val="28"/>
          <w:szCs w:val="28"/>
          <w:lang w:val="en-US" w:eastAsia="zh-CN" w:bidi="ar-SA"/>
        </w:rPr>
        <w:t>301.2744</w:t>
      </w:r>
      <w:r>
        <w:rPr>
          <w:rFonts w:hint="eastAsia" w:ascii="仿宋_GB2312" w:hAnsi="仿宋_GB2312" w:eastAsia="仿宋_GB2312" w:cs="仿宋_GB2312"/>
          <w:spacing w:val="-10"/>
          <w:kern w:val="28"/>
          <w:sz w:val="28"/>
          <w:szCs w:val="28"/>
          <w:lang w:val="en-US" w:eastAsia="zh-CN" w:bidi="ar-SA"/>
        </w:rPr>
        <w:t>万元/年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 w14:paraId="0A96D306">
      <w:pPr>
        <w:pStyle w:val="3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2.意向经营方须以首个年度的经营费用为基准，每满一年以上一年经营费缴纳为基础，每年按比例递增进行报价，报价须大于2%，。若报价≤2%视为报价无效。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17B6D"/>
    <w:rsid w:val="04E55602"/>
    <w:rsid w:val="5781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contextualSpacing/>
    </w:pPr>
    <w:rPr>
      <w:rFonts w:ascii="Calibri Light" w:hAnsi="Calibri Light"/>
      <w:spacing w:val="-10"/>
      <w:kern w:val="28"/>
      <w:sz w:val="56"/>
      <w:szCs w:val="56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181</Characters>
  <Lines>0</Lines>
  <Paragraphs>0</Paragraphs>
  <TotalTime>1</TotalTime>
  <ScaleCrop>false</ScaleCrop>
  <LinksUpToDate>false</LinksUpToDate>
  <CharactersWithSpaces>182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2025-01-15T05:57:00Z</dcterms:created>
  <dc:creator>雷星昀</dc:creator>
  <cp:lastModifiedBy>雷星昀</cp:lastModifiedBy>
  <dcterms:modified xsi:type="dcterms:W3CDTF">2025-01-24T02:09:48Z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B02C3DCB567E44E394728CEDAB0E8EB4_13</vt:lpwstr>
  </property>
  <property fmtid="{D5CDD505-2E9C-101B-9397-08002B2CF9AE}" pid="4" name="KSOTemplateDocerSaveRecord">
    <vt:lpwstr>eyJoZGlkIjoiZGQ1NzQ5Yjg5NGIwYWU3ZjU1OWZiOGZjNmY3MTQ4NmMiLCJ1c2VySWQiOiIxMzM2Mzg1NSJ9</vt:lpwstr>
  </property>
</Properties>
</file>