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760D5">
      <w:pPr>
        <w:rPr>
          <w:rFonts w:hint="eastAsia"/>
          <w:sz w:val="32"/>
          <w:szCs w:val="40"/>
          <w:lang w:val="en-US" w:eastAsia="zh-CN"/>
        </w:rPr>
      </w:pPr>
      <w:r>
        <w:rPr>
          <w:rFonts w:hint="eastAsia"/>
          <w:sz w:val="32"/>
          <w:szCs w:val="40"/>
          <w:lang w:val="en-US" w:eastAsia="zh-CN"/>
        </w:rPr>
        <w:t>附件一：</w:t>
      </w:r>
    </w:p>
    <w:p w14:paraId="230BDB02">
      <w:pPr>
        <w:rPr>
          <w:rFonts w:hint="eastAsia"/>
          <w:sz w:val="32"/>
          <w:szCs w:val="40"/>
          <w:lang w:val="en-US" w:eastAsia="zh-CN"/>
        </w:rPr>
      </w:pPr>
      <w:r>
        <w:rPr>
          <w:rFonts w:hint="eastAsia"/>
          <w:sz w:val="32"/>
          <w:szCs w:val="40"/>
          <w:lang w:val="en-US" w:eastAsia="zh-CN"/>
        </w:rPr>
        <w:t>改造内容要求表</w:t>
      </w:r>
    </w:p>
    <w:tbl>
      <w:tblPr>
        <w:tblStyle w:val="7"/>
        <w:tblW w:w="4368" w:type="pct"/>
        <w:jc w:val="center"/>
        <w:tblLayout w:type="fixed"/>
        <w:tblCellMar>
          <w:top w:w="0" w:type="dxa"/>
          <w:left w:w="108" w:type="dxa"/>
          <w:bottom w:w="0" w:type="dxa"/>
          <w:right w:w="108" w:type="dxa"/>
        </w:tblCellMar>
      </w:tblPr>
      <w:tblGrid>
        <w:gridCol w:w="946"/>
        <w:gridCol w:w="1983"/>
        <w:gridCol w:w="1232"/>
        <w:gridCol w:w="2013"/>
        <w:gridCol w:w="1271"/>
      </w:tblGrid>
      <w:tr w14:paraId="5A647802">
        <w:tblPrEx>
          <w:tblCellMar>
            <w:top w:w="0" w:type="dxa"/>
            <w:left w:w="108" w:type="dxa"/>
            <w:bottom w:w="0" w:type="dxa"/>
            <w:right w:w="108" w:type="dxa"/>
          </w:tblCellMar>
        </w:tblPrEx>
        <w:trPr>
          <w:trHeight w:val="90" w:hRule="atLeast"/>
          <w:jc w:val="center"/>
        </w:trPr>
        <w:tc>
          <w:tcPr>
            <w:tcW w:w="636" w:type="pct"/>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3A367611">
            <w:pPr>
              <w:pStyle w:val="6"/>
              <w:ind w:firstLine="0" w:firstLineChars="0"/>
              <w:rPr>
                <w:rFonts w:hint="eastAsia" w:ascii="仿宋" w:hAnsi="仿宋" w:eastAsia="仿宋" w:cs="仿宋"/>
                <w:sz w:val="28"/>
                <w:szCs w:val="28"/>
              </w:rPr>
            </w:pPr>
            <w:bookmarkStart w:id="2" w:name="_GoBack"/>
            <w:bookmarkEnd w:id="2"/>
            <w:r>
              <w:rPr>
                <w:rFonts w:hint="eastAsia" w:ascii="仿宋" w:hAnsi="仿宋" w:eastAsia="仿宋" w:cs="仿宋"/>
                <w:sz w:val="28"/>
                <w:szCs w:val="28"/>
              </w:rPr>
              <w:t>序号</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144D912B">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站点</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6BAD847A">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停车位</w:t>
            </w:r>
          </w:p>
          <w:p w14:paraId="3E22606B">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（个）</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2925F65">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充电桩拟建规模</w:t>
            </w:r>
          </w:p>
        </w:tc>
        <w:tc>
          <w:tcPr>
            <w:tcW w:w="853" w:type="pct"/>
            <w:tcBorders>
              <w:top w:val="single" w:color="auto" w:sz="4" w:space="0"/>
              <w:left w:val="single" w:color="000000" w:sz="4" w:space="0"/>
              <w:bottom w:val="single" w:color="000000" w:sz="4" w:space="0"/>
              <w:right w:val="single" w:color="000000" w:sz="4" w:space="0"/>
            </w:tcBorders>
            <w:shd w:val="clear" w:color="auto" w:fill="FFFFFF"/>
            <w:vAlign w:val="center"/>
          </w:tcPr>
          <w:p w14:paraId="71F0AAEF">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充电总功率（KW）</w:t>
            </w:r>
          </w:p>
        </w:tc>
      </w:tr>
      <w:tr w14:paraId="3A8A2101">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7DCB30">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1</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070079C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黄山冲公交首末站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34C9AFB4">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8</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A7FB5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1个480kW（1拖8）</w:t>
            </w:r>
          </w:p>
          <w:p w14:paraId="0CF746E3">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直流充电桩</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569E2E">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480</w:t>
            </w:r>
          </w:p>
        </w:tc>
      </w:tr>
      <w:tr w14:paraId="1BE6E10B">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D3EF7D">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2</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12D96987">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杨慧万科城首末站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73917232">
            <w:pPr>
              <w:pStyle w:val="6"/>
              <w:ind w:left="559" w:leftChars="266" w:firstLine="0" w:firstLineChars="0"/>
              <w:rPr>
                <w:rFonts w:hint="eastAsia" w:ascii="仿宋" w:hAnsi="仿宋" w:eastAsia="仿宋" w:cs="仿宋"/>
                <w:sz w:val="28"/>
                <w:szCs w:val="28"/>
              </w:rPr>
            </w:pPr>
            <w:r>
              <w:rPr>
                <w:rFonts w:hint="eastAsia" w:ascii="仿宋" w:hAnsi="仿宋" w:eastAsia="仿宋" w:cs="仿宋"/>
                <w:sz w:val="28"/>
                <w:szCs w:val="28"/>
              </w:rPr>
              <w:t>12</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3FE2C5">
            <w:pPr>
              <w:pStyle w:val="6"/>
              <w:ind w:firstLine="0" w:firstLineChars="0"/>
              <w:rPr>
                <w:rFonts w:hint="eastAsia" w:ascii="仿宋" w:hAnsi="仿宋" w:eastAsia="仿宋" w:cs="仿宋"/>
                <w:sz w:val="28"/>
                <w:szCs w:val="28"/>
                <w:highlight w:val="none"/>
              </w:rPr>
            </w:pPr>
            <w:r>
              <w:rPr>
                <w:rFonts w:hint="eastAsia" w:ascii="仿宋" w:hAnsi="仿宋" w:eastAsia="仿宋" w:cs="仿宋"/>
                <w:sz w:val="28"/>
                <w:szCs w:val="28"/>
                <w:highlight w:val="none"/>
              </w:rPr>
              <w:t>2个360kW（1拖6）</w:t>
            </w:r>
          </w:p>
          <w:p w14:paraId="19E5CFD0">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直流充电桩</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EE2E19">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720</w:t>
            </w:r>
          </w:p>
        </w:tc>
      </w:tr>
      <w:tr w14:paraId="446FFD1A">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FB9B73">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3</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19A7FE4F">
            <w:pPr>
              <w:pStyle w:val="6"/>
              <w:ind w:left="559" w:leftChars="133" w:hanging="280" w:hangingChars="100"/>
              <w:rPr>
                <w:rFonts w:hint="eastAsia" w:ascii="仿宋" w:hAnsi="仿宋" w:eastAsia="仿宋" w:cs="仿宋"/>
                <w:szCs w:val="28"/>
              </w:rPr>
            </w:pPr>
            <w:r>
              <w:rPr>
                <w:rFonts w:hint="eastAsia"/>
                <w:sz w:val="28"/>
                <w:szCs w:val="28"/>
              </w:rPr>
              <w:t>太慈桥公交停车场</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45D0D738">
            <w:pPr>
              <w:pStyle w:val="6"/>
              <w:ind w:left="559" w:leftChars="266" w:firstLine="0" w:firstLineChars="0"/>
              <w:rPr>
                <w:sz w:val="28"/>
                <w:szCs w:val="28"/>
              </w:rPr>
            </w:pPr>
            <w:r>
              <w:rPr>
                <w:rFonts w:hint="eastAsia"/>
                <w:sz w:val="28"/>
                <w:szCs w:val="28"/>
              </w:rPr>
              <w:t>24</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A18044">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4个360kW（1拖6）</w:t>
            </w:r>
          </w:p>
          <w:p w14:paraId="457644AF">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直流充电桩（分二期实施）</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912A1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1440</w:t>
            </w:r>
          </w:p>
        </w:tc>
      </w:tr>
      <w:tr w14:paraId="5B352FA0">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838FBF">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4</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6D05F7B8">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贵高速.花溪26度公交首末站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2424F1D9">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8</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5F3AA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300KW（1拖8）直流充电桩1台</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461988">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300</w:t>
            </w:r>
          </w:p>
        </w:tc>
      </w:tr>
      <w:tr w14:paraId="598DFD82">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EE2670">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5</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400909F8">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丽景阳天公交首末站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28CEFF1B">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6</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218108">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3个180kW</w:t>
            </w:r>
          </w:p>
          <w:p w14:paraId="647BF8D7">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双枪充电桩</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5D8587">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540</w:t>
            </w:r>
          </w:p>
        </w:tc>
      </w:tr>
      <w:tr w14:paraId="32AE2509">
        <w:tblPrEx>
          <w:tblCellMar>
            <w:top w:w="0" w:type="dxa"/>
            <w:left w:w="108" w:type="dxa"/>
            <w:bottom w:w="0" w:type="dxa"/>
            <w:right w:w="108" w:type="dxa"/>
          </w:tblCellMar>
        </w:tblPrEx>
        <w:trPr>
          <w:trHeight w:val="964"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6F9DA0">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6</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14B69C05">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公交金阳枢纽站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69A03258">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24</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238CDD">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360kw（1拖6）</w:t>
            </w:r>
          </w:p>
          <w:p w14:paraId="66602675">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直流充电桩4台</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93E3C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1440</w:t>
            </w:r>
          </w:p>
        </w:tc>
      </w:tr>
      <w:tr w14:paraId="11E67F6D">
        <w:tblPrEx>
          <w:tblCellMar>
            <w:top w:w="0" w:type="dxa"/>
            <w:left w:w="108" w:type="dxa"/>
            <w:bottom w:w="0" w:type="dxa"/>
            <w:right w:w="108" w:type="dxa"/>
          </w:tblCellMar>
        </w:tblPrEx>
        <w:trPr>
          <w:trHeight w:val="1049"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6AE677">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7</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2F667AF3">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都拉营公交首末站</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22933E1D">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10</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6CE343">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5个120kW</w:t>
            </w:r>
          </w:p>
          <w:p w14:paraId="7B4C2F86">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双枪充电桩</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52DA3C">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600</w:t>
            </w:r>
          </w:p>
        </w:tc>
      </w:tr>
      <w:tr w14:paraId="322C8288">
        <w:tblPrEx>
          <w:tblCellMar>
            <w:top w:w="0" w:type="dxa"/>
            <w:left w:w="108" w:type="dxa"/>
            <w:bottom w:w="0" w:type="dxa"/>
            <w:right w:w="108" w:type="dxa"/>
          </w:tblCellMar>
        </w:tblPrEx>
        <w:trPr>
          <w:trHeight w:val="529"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C9B399">
            <w:pPr>
              <w:pStyle w:val="4"/>
            </w:pPr>
          </w:p>
          <w:p w14:paraId="5EE415D9">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8</w:t>
            </w: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5F4D0CB1">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中环路西段（桥下）停车场</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238FB89A">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10</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28E906">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5个120kW</w:t>
            </w:r>
          </w:p>
          <w:p w14:paraId="37556527">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双枪充电桩</w:t>
            </w: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4FBC68">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600</w:t>
            </w:r>
          </w:p>
        </w:tc>
      </w:tr>
      <w:tr w14:paraId="55F8773D">
        <w:tblPrEx>
          <w:tblCellMar>
            <w:top w:w="0" w:type="dxa"/>
            <w:left w:w="108" w:type="dxa"/>
            <w:bottom w:w="0" w:type="dxa"/>
            <w:right w:w="108" w:type="dxa"/>
          </w:tblCellMar>
        </w:tblPrEx>
        <w:trPr>
          <w:trHeight w:val="529" w:hRule="atLeast"/>
          <w:jc w:val="center"/>
        </w:trPr>
        <w:tc>
          <w:tcPr>
            <w:tcW w:w="6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938CAE">
            <w:pPr>
              <w:pStyle w:val="6"/>
              <w:ind w:firstLine="0" w:firstLineChars="0"/>
              <w:rPr>
                <w:rFonts w:hint="eastAsia" w:ascii="仿宋" w:hAnsi="仿宋" w:eastAsia="仿宋" w:cs="仿宋"/>
                <w:sz w:val="28"/>
                <w:szCs w:val="28"/>
              </w:rPr>
            </w:pPr>
          </w:p>
        </w:tc>
        <w:tc>
          <w:tcPr>
            <w:tcW w:w="1331" w:type="pct"/>
            <w:tcBorders>
              <w:top w:val="single" w:color="000000" w:sz="4" w:space="0"/>
              <w:left w:val="single" w:color="000000" w:sz="4" w:space="0"/>
              <w:bottom w:val="single" w:color="000000" w:sz="4" w:space="0"/>
              <w:right w:val="single" w:color="auto" w:sz="4" w:space="0"/>
            </w:tcBorders>
            <w:shd w:val="clear" w:color="auto" w:fill="FFFFFF"/>
            <w:vAlign w:val="center"/>
          </w:tcPr>
          <w:p w14:paraId="2933478D">
            <w:pPr>
              <w:pStyle w:val="6"/>
              <w:ind w:firstLine="0" w:firstLineChars="0"/>
              <w:rPr>
                <w:rFonts w:hint="eastAsia" w:ascii="仿宋" w:hAnsi="仿宋" w:eastAsia="仿宋" w:cs="仿宋"/>
                <w:sz w:val="28"/>
                <w:szCs w:val="28"/>
              </w:rPr>
            </w:pPr>
            <w:r>
              <w:rPr>
                <w:rFonts w:hint="eastAsia" w:ascii="仿宋" w:hAnsi="仿宋" w:eastAsia="仿宋" w:cs="仿宋"/>
                <w:sz w:val="28"/>
                <w:szCs w:val="28"/>
              </w:rPr>
              <w:t>合计</w:t>
            </w:r>
          </w:p>
        </w:tc>
        <w:tc>
          <w:tcPr>
            <w:tcW w:w="827" w:type="pct"/>
            <w:tcBorders>
              <w:top w:val="single" w:color="000000" w:sz="4" w:space="0"/>
              <w:left w:val="single" w:color="auto" w:sz="4" w:space="0"/>
              <w:bottom w:val="single" w:color="000000" w:sz="4" w:space="0"/>
              <w:right w:val="single" w:color="000000" w:sz="4" w:space="0"/>
            </w:tcBorders>
            <w:shd w:val="clear" w:color="auto" w:fill="FFFFFF"/>
            <w:vAlign w:val="center"/>
          </w:tcPr>
          <w:p w14:paraId="50C06065">
            <w:pPr>
              <w:pStyle w:val="6"/>
              <w:ind w:firstLine="280" w:firstLineChars="100"/>
              <w:rPr>
                <w:rFonts w:hint="eastAsia" w:ascii="仿宋" w:hAnsi="仿宋" w:eastAsia="仿宋" w:cs="仿宋"/>
                <w:sz w:val="28"/>
                <w:szCs w:val="28"/>
              </w:rPr>
            </w:pPr>
            <w:r>
              <w:rPr>
                <w:rFonts w:hint="eastAsia" w:ascii="仿宋" w:hAnsi="仿宋" w:eastAsia="仿宋" w:cs="仿宋"/>
                <w:sz w:val="28"/>
                <w:szCs w:val="28"/>
              </w:rPr>
              <w:t>102</w:t>
            </w:r>
          </w:p>
        </w:tc>
        <w:tc>
          <w:tcPr>
            <w:tcW w:w="135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EF90AA">
            <w:pPr>
              <w:pStyle w:val="6"/>
              <w:ind w:firstLine="0" w:firstLineChars="0"/>
              <w:rPr>
                <w:rFonts w:hint="eastAsia" w:ascii="仿宋" w:hAnsi="仿宋" w:eastAsia="仿宋" w:cs="仿宋"/>
                <w:sz w:val="28"/>
                <w:szCs w:val="28"/>
              </w:rPr>
            </w:pPr>
          </w:p>
        </w:tc>
        <w:tc>
          <w:tcPr>
            <w:tcW w:w="85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3F3BB1">
            <w:pPr>
              <w:pStyle w:val="6"/>
              <w:ind w:firstLine="0" w:firstLineChars="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6120</w:t>
            </w:r>
          </w:p>
        </w:tc>
      </w:tr>
    </w:tbl>
    <w:p w14:paraId="15962BDD">
      <w:pPr>
        <w:rPr>
          <w:rFonts w:hint="eastAsia"/>
          <w:sz w:val="32"/>
          <w:szCs w:val="40"/>
          <w:lang w:val="en-US" w:eastAsia="zh-CN"/>
        </w:rPr>
      </w:pPr>
      <w:r>
        <w:rPr>
          <w:rFonts w:hint="eastAsia"/>
          <w:sz w:val="32"/>
          <w:szCs w:val="40"/>
          <w:lang w:val="en-US" w:eastAsia="zh-CN"/>
        </w:rPr>
        <w:t>备注：用电方案以属地供电局批准方案为准。单枪充电功率不低于60kw。</w:t>
      </w:r>
    </w:p>
    <w:p w14:paraId="0393352C">
      <w:pPr>
        <w:pStyle w:val="2"/>
        <w:bidi w:val="0"/>
        <w:rPr>
          <w:rFonts w:hint="eastAsia" w:ascii="仿宋" w:hAnsi="仿宋" w:eastAsia="仿宋" w:cs="仿宋"/>
          <w:color w:val="auto"/>
          <w:kern w:val="0"/>
          <w:sz w:val="32"/>
          <w:szCs w:val="32"/>
          <w:highlight w:val="none"/>
        </w:rPr>
      </w:pPr>
      <w:bookmarkStart w:id="0" w:name="_Toc30570"/>
    </w:p>
    <w:p w14:paraId="71F1D617">
      <w:pPr>
        <w:pStyle w:val="2"/>
        <w:bidi w:val="0"/>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充电设备功能相关技术要求</w:t>
      </w:r>
    </w:p>
    <w:p w14:paraId="200A32A8">
      <w:pPr>
        <w:pStyle w:val="2"/>
        <w:bidi w:val="0"/>
        <w:rPr>
          <w:rFonts w:hint="eastAsia"/>
          <w:lang w:val="en-US" w:eastAsia="zh-CN"/>
        </w:rPr>
      </w:pPr>
      <w:r>
        <w:rPr>
          <w:rFonts w:hint="eastAsia"/>
          <w:b/>
          <w:bCs/>
          <w:sz w:val="28"/>
          <w:szCs w:val="36"/>
          <w:lang w:val="en-US" w:eastAsia="zh-CN"/>
        </w:rPr>
        <w:t>1.分体式直流充电机技术参数</w:t>
      </w:r>
      <w:r>
        <w:rPr>
          <w:rFonts w:hint="eastAsia"/>
          <w:lang w:val="en-US" w:eastAsia="zh-CN"/>
        </w:rPr>
        <w:t>：</w:t>
      </w:r>
      <w:bookmarkEnd w:id="0"/>
    </w:p>
    <w:p w14:paraId="4CFFB735">
      <w:pPr>
        <w:pStyle w:val="3"/>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sz w:val="21"/>
          <w:szCs w:val="21"/>
          <w:lang w:val="en-US" w:eastAsia="zh-CN"/>
        </w:rPr>
      </w:pPr>
      <w:bookmarkStart w:id="1" w:name="OLE_LINK1"/>
      <w:r>
        <w:rPr>
          <w:rFonts w:hint="eastAsia" w:ascii="宋体" w:hAnsi="宋体" w:eastAsia="宋体" w:cs="宋体"/>
          <w:b/>
          <w:bCs/>
          <w:sz w:val="21"/>
          <w:szCs w:val="21"/>
          <w:lang w:val="en-US" w:eastAsia="zh-CN"/>
        </w:rPr>
        <w:t>使用条件</w:t>
      </w:r>
    </w:p>
    <w:p w14:paraId="3B65987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（1）环境条件</w:t>
      </w:r>
    </w:p>
    <w:p w14:paraId="2DD7DE1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a.环境温度：-20℃～+50℃；</w:t>
      </w:r>
    </w:p>
    <w:p w14:paraId="631D1A5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b.相对湿度：5％～95％；</w:t>
      </w:r>
    </w:p>
    <w:p w14:paraId="4D0C1AB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c.海拔高度：≤2000m；</w:t>
      </w:r>
    </w:p>
    <w:p w14:paraId="6D2A9A8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d.大气压强：80kPa～110kPa。</w:t>
      </w:r>
    </w:p>
    <w:p w14:paraId="041826E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（2）电源条件</w:t>
      </w:r>
    </w:p>
    <w:p w14:paraId="10BBD0D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a.交流输入电压：380V±15％；</w:t>
      </w:r>
    </w:p>
    <w:p w14:paraId="6EEED65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b.交流电源频率：50Hz±1Hz。</w:t>
      </w:r>
    </w:p>
    <w:p w14:paraId="33EE730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（3）辅助电源条件</w:t>
      </w:r>
    </w:p>
    <w:p w14:paraId="6E458FBD">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a.低压辅助电源：充电机应能为电动汽车提供低压辅助电源。</w:t>
      </w:r>
    </w:p>
    <w:p w14:paraId="3EA548A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FF0000"/>
          <w:sz w:val="21"/>
          <w:szCs w:val="21"/>
        </w:rPr>
      </w:pPr>
      <w:r>
        <w:rPr>
          <w:rFonts w:hint="eastAsia" w:ascii="宋体" w:hAnsi="宋体" w:eastAsia="宋体" w:cs="宋体"/>
          <w:sz w:val="21"/>
          <w:szCs w:val="21"/>
        </w:rPr>
        <w:t>b.辅助电源电压：12V。</w:t>
      </w:r>
    </w:p>
    <w:p w14:paraId="531B95A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c.辅助电源额定电流：10A。</w:t>
      </w:r>
    </w:p>
    <w:p w14:paraId="4089B1E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d.纹波峰值系数：不超过±1%。</w:t>
      </w:r>
    </w:p>
    <w:p w14:paraId="42EAF23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（4）输出电压和额定功率</w:t>
      </w:r>
    </w:p>
    <w:p w14:paraId="2A3FCF95">
      <w:pPr>
        <w:keepNext w:val="0"/>
        <w:keepLines w:val="0"/>
        <w:pageBreakBefore w:val="0"/>
        <w:widowControl w:val="0"/>
        <w:kinsoku/>
        <w:wordWrap/>
        <w:overflowPunct/>
        <w:topLinePunct w:val="0"/>
        <w:autoSpaceDE/>
        <w:autoSpaceDN/>
        <w:bidi w:val="0"/>
        <w:adjustRightInd/>
        <w:snapToGrid/>
        <w:spacing w:line="360" w:lineRule="auto"/>
        <w:ind w:firstLine="42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表1模块参数</w:t>
      </w:r>
    </w:p>
    <w:tbl>
      <w:tblPr>
        <w:tblStyle w:val="8"/>
        <w:tblW w:w="5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8"/>
        <w:gridCol w:w="2410"/>
      </w:tblGrid>
      <w:tr w14:paraId="18D01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218" w:type="dxa"/>
            <w:noWrap w:val="0"/>
            <w:vAlign w:val="top"/>
          </w:tcPr>
          <w:p w14:paraId="220C1764">
            <w:pPr>
              <w:rPr>
                <w:rFonts w:hint="eastAsia" w:ascii="宋体" w:hAnsi="宋体" w:eastAsia="宋体" w:cs="宋体"/>
                <w:sz w:val="21"/>
                <w:szCs w:val="21"/>
              </w:rPr>
            </w:pPr>
            <w:r>
              <w:rPr>
                <w:rFonts w:hint="eastAsia" w:ascii="宋体" w:hAnsi="宋体" w:eastAsia="宋体" w:cs="宋体"/>
                <w:sz w:val="21"/>
                <w:szCs w:val="21"/>
              </w:rPr>
              <w:t>单个模块功率</w:t>
            </w:r>
          </w:p>
        </w:tc>
        <w:tc>
          <w:tcPr>
            <w:tcW w:w="2410" w:type="dxa"/>
            <w:noWrap w:val="0"/>
            <w:vAlign w:val="top"/>
          </w:tcPr>
          <w:p w14:paraId="08CB885D">
            <w:pPr>
              <w:jc w:val="center"/>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0kW</w:t>
            </w:r>
          </w:p>
        </w:tc>
      </w:tr>
      <w:tr w14:paraId="0A327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8" w:type="dxa"/>
            <w:noWrap w:val="0"/>
            <w:vAlign w:val="top"/>
          </w:tcPr>
          <w:p w14:paraId="3B08EF3A">
            <w:pPr>
              <w:rPr>
                <w:rFonts w:hint="eastAsia" w:ascii="宋体" w:hAnsi="宋体" w:eastAsia="宋体" w:cs="宋体"/>
                <w:sz w:val="21"/>
                <w:szCs w:val="21"/>
              </w:rPr>
            </w:pPr>
            <w:r>
              <w:rPr>
                <w:rFonts w:hint="eastAsia" w:ascii="宋体" w:hAnsi="宋体" w:eastAsia="宋体" w:cs="宋体"/>
                <w:sz w:val="21"/>
                <w:szCs w:val="21"/>
              </w:rPr>
              <w:t>直流输出电压范围</w:t>
            </w:r>
          </w:p>
        </w:tc>
        <w:tc>
          <w:tcPr>
            <w:tcW w:w="2410" w:type="dxa"/>
            <w:noWrap w:val="0"/>
            <w:vAlign w:val="top"/>
          </w:tcPr>
          <w:p w14:paraId="22DC33D2">
            <w:pPr>
              <w:jc w:val="center"/>
              <w:rPr>
                <w:rFonts w:hint="eastAsia" w:ascii="宋体" w:hAnsi="宋体" w:eastAsia="宋体" w:cs="宋体"/>
                <w:sz w:val="21"/>
                <w:szCs w:val="21"/>
              </w:rPr>
            </w:pPr>
            <w:r>
              <w:rPr>
                <w:rFonts w:hint="eastAsia" w:ascii="宋体" w:hAnsi="宋体" w:eastAsia="宋体" w:cs="宋体"/>
                <w:sz w:val="21"/>
                <w:szCs w:val="21"/>
              </w:rPr>
              <w:t>DC200-1000V</w:t>
            </w:r>
          </w:p>
        </w:tc>
      </w:tr>
      <w:tr w14:paraId="60F7F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8" w:type="dxa"/>
            <w:noWrap w:val="0"/>
            <w:vAlign w:val="top"/>
          </w:tcPr>
          <w:p w14:paraId="6E314B1B">
            <w:pPr>
              <w:rPr>
                <w:rFonts w:hint="eastAsia" w:ascii="宋体" w:hAnsi="宋体" w:eastAsia="宋体" w:cs="宋体"/>
                <w:sz w:val="21"/>
                <w:szCs w:val="21"/>
              </w:rPr>
            </w:pPr>
            <w:r>
              <w:rPr>
                <w:rFonts w:hint="eastAsia" w:ascii="宋体" w:hAnsi="宋体" w:eastAsia="宋体" w:cs="宋体"/>
                <w:sz w:val="21"/>
                <w:szCs w:val="21"/>
              </w:rPr>
              <w:t>模块恒功率输出电压范围</w:t>
            </w:r>
          </w:p>
        </w:tc>
        <w:tc>
          <w:tcPr>
            <w:tcW w:w="2410" w:type="dxa"/>
            <w:noWrap w:val="0"/>
            <w:vAlign w:val="top"/>
          </w:tcPr>
          <w:p w14:paraId="47A21F09">
            <w:pPr>
              <w:jc w:val="center"/>
              <w:rPr>
                <w:rFonts w:hint="eastAsia" w:ascii="宋体" w:hAnsi="宋体" w:eastAsia="宋体" w:cs="宋体"/>
                <w:sz w:val="21"/>
                <w:szCs w:val="21"/>
              </w:rPr>
            </w:pPr>
            <w:r>
              <w:rPr>
                <w:rFonts w:hint="eastAsia" w:ascii="宋体" w:hAnsi="宋体" w:eastAsia="宋体" w:cs="宋体"/>
                <w:sz w:val="21"/>
                <w:szCs w:val="21"/>
              </w:rPr>
              <w:t>DC300-1000V</w:t>
            </w:r>
          </w:p>
        </w:tc>
      </w:tr>
    </w:tbl>
    <w:p w14:paraId="05F6FA59">
      <w:pPr>
        <w:keepNext w:val="0"/>
        <w:keepLines w:val="0"/>
        <w:pageBreakBefore w:val="0"/>
        <w:widowControl w:val="0"/>
        <w:kinsoku/>
        <w:wordWrap/>
        <w:overflowPunct/>
        <w:topLinePunct w:val="0"/>
        <w:autoSpaceDE/>
        <w:autoSpaceDN/>
        <w:bidi w:val="0"/>
        <w:adjustRightInd/>
        <w:snapToGrid/>
        <w:spacing w:line="360" w:lineRule="auto"/>
        <w:ind w:firstLine="210" w:firstLineChars="100"/>
        <w:textAlignment w:val="auto"/>
        <w:rPr>
          <w:rFonts w:hint="eastAsia" w:ascii="宋体" w:hAnsi="宋体" w:eastAsia="宋体" w:cs="宋体"/>
          <w:sz w:val="21"/>
          <w:szCs w:val="21"/>
        </w:rPr>
      </w:pPr>
      <w:r>
        <w:rPr>
          <w:rFonts w:hint="eastAsia" w:ascii="宋体" w:hAnsi="宋体" w:eastAsia="宋体" w:cs="宋体"/>
          <w:sz w:val="21"/>
          <w:szCs w:val="21"/>
        </w:rPr>
        <w:t>（5）充电枪线</w:t>
      </w:r>
    </w:p>
    <w:p w14:paraId="1A6AF1D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a.充电枪头及枪线统一选用</w:t>
      </w:r>
      <w:r>
        <w:rPr>
          <w:rFonts w:hint="eastAsia" w:ascii="宋体" w:hAnsi="宋体" w:cs="宋体"/>
          <w:sz w:val="21"/>
          <w:szCs w:val="21"/>
          <w:lang w:val="en-US" w:eastAsia="zh-CN"/>
        </w:rPr>
        <w:t>250</w:t>
      </w:r>
      <w:r>
        <w:rPr>
          <w:rFonts w:hint="eastAsia" w:ascii="宋体" w:hAnsi="宋体" w:eastAsia="宋体" w:cs="宋体"/>
          <w:sz w:val="21"/>
          <w:szCs w:val="21"/>
        </w:rPr>
        <w:t>A。</w:t>
      </w:r>
    </w:p>
    <w:p w14:paraId="2F983AB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b.</w:t>
      </w:r>
      <w:r>
        <w:rPr>
          <w:rFonts w:hint="eastAsia" w:ascii="宋体" w:hAnsi="宋体" w:cs="宋体"/>
          <w:sz w:val="21"/>
          <w:szCs w:val="21"/>
          <w:lang w:val="en-US" w:eastAsia="zh-CN"/>
        </w:rPr>
        <w:t>250</w:t>
      </w:r>
      <w:r>
        <w:rPr>
          <w:rFonts w:hint="eastAsia" w:ascii="宋体" w:hAnsi="宋体" w:eastAsia="宋体" w:cs="宋体"/>
          <w:sz w:val="21"/>
          <w:szCs w:val="21"/>
        </w:rPr>
        <w:t>A枪线规格</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枪线外漏</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米</w:t>
      </w:r>
    </w:p>
    <w:p w14:paraId="2B77469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直流充电机技术参数表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2943"/>
        <w:gridCol w:w="1056"/>
        <w:gridCol w:w="3468"/>
      </w:tblGrid>
      <w:tr w14:paraId="175E7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exact"/>
          <w:jc w:val="center"/>
        </w:trPr>
        <w:tc>
          <w:tcPr>
            <w:tcW w:w="0" w:type="auto"/>
            <w:noWrap w:val="0"/>
            <w:vAlign w:val="center"/>
          </w:tcPr>
          <w:p w14:paraId="3F78DC7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0" w:type="auto"/>
            <w:noWrap w:val="0"/>
            <w:vAlign w:val="center"/>
          </w:tcPr>
          <w:p w14:paraId="43CCB74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w:t>
            </w:r>
          </w:p>
        </w:tc>
        <w:tc>
          <w:tcPr>
            <w:tcW w:w="0" w:type="auto"/>
            <w:noWrap w:val="0"/>
            <w:vAlign w:val="center"/>
          </w:tcPr>
          <w:p w14:paraId="0E829CC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c>
          <w:tcPr>
            <w:tcW w:w="0" w:type="auto"/>
            <w:noWrap w:val="0"/>
            <w:vAlign w:val="center"/>
          </w:tcPr>
          <w:p w14:paraId="6AFCB91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参数要求</w:t>
            </w:r>
          </w:p>
        </w:tc>
      </w:tr>
      <w:tr w14:paraId="03BFB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jc w:val="center"/>
        </w:trPr>
        <w:tc>
          <w:tcPr>
            <w:tcW w:w="0" w:type="auto"/>
            <w:noWrap w:val="0"/>
            <w:vAlign w:val="center"/>
          </w:tcPr>
          <w:p w14:paraId="7E144F3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0" w:type="auto"/>
            <w:noWrap w:val="0"/>
            <w:vAlign w:val="center"/>
          </w:tcPr>
          <w:p w14:paraId="7FDC195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交流输入电压</w:t>
            </w:r>
          </w:p>
        </w:tc>
        <w:tc>
          <w:tcPr>
            <w:tcW w:w="0" w:type="auto"/>
            <w:noWrap w:val="0"/>
            <w:vAlign w:val="center"/>
          </w:tcPr>
          <w:p w14:paraId="2E47628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w:t>
            </w:r>
          </w:p>
        </w:tc>
        <w:tc>
          <w:tcPr>
            <w:tcW w:w="0" w:type="auto"/>
            <w:noWrap w:val="0"/>
            <w:vAlign w:val="center"/>
          </w:tcPr>
          <w:p w14:paraId="01EB78D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380±15％</w:t>
            </w:r>
          </w:p>
        </w:tc>
      </w:tr>
      <w:tr w14:paraId="57666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0" w:type="auto"/>
            <w:noWrap w:val="0"/>
            <w:vAlign w:val="center"/>
          </w:tcPr>
          <w:p w14:paraId="4E01D46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0" w:type="auto"/>
            <w:noWrap w:val="0"/>
            <w:vAlign w:val="center"/>
          </w:tcPr>
          <w:p w14:paraId="5CE4DAF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交流电源频率</w:t>
            </w:r>
          </w:p>
        </w:tc>
        <w:tc>
          <w:tcPr>
            <w:tcW w:w="0" w:type="auto"/>
            <w:noWrap w:val="0"/>
            <w:vAlign w:val="center"/>
          </w:tcPr>
          <w:p w14:paraId="37D0A2E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Hz</w:t>
            </w:r>
          </w:p>
        </w:tc>
        <w:tc>
          <w:tcPr>
            <w:tcW w:w="0" w:type="auto"/>
            <w:noWrap w:val="0"/>
            <w:vAlign w:val="center"/>
          </w:tcPr>
          <w:p w14:paraId="2858F42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50±1</w:t>
            </w:r>
          </w:p>
        </w:tc>
      </w:tr>
      <w:tr w14:paraId="3CDD5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0" w:type="auto"/>
            <w:noWrap w:val="0"/>
            <w:vAlign w:val="center"/>
          </w:tcPr>
          <w:p w14:paraId="1C3C4E0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0" w:type="auto"/>
            <w:noWrap w:val="0"/>
            <w:vAlign w:val="center"/>
          </w:tcPr>
          <w:p w14:paraId="7071C71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直流输出电压范围</w:t>
            </w:r>
          </w:p>
        </w:tc>
        <w:tc>
          <w:tcPr>
            <w:tcW w:w="0" w:type="auto"/>
            <w:noWrap w:val="0"/>
            <w:vAlign w:val="center"/>
          </w:tcPr>
          <w:p w14:paraId="5F3E05A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w:t>
            </w:r>
          </w:p>
        </w:tc>
        <w:tc>
          <w:tcPr>
            <w:tcW w:w="0" w:type="auto"/>
            <w:noWrap w:val="0"/>
            <w:vAlign w:val="center"/>
          </w:tcPr>
          <w:p w14:paraId="30A8A33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200-1000</w:t>
            </w:r>
          </w:p>
        </w:tc>
      </w:tr>
      <w:tr w14:paraId="56C0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0" w:type="auto"/>
            <w:noWrap w:val="0"/>
            <w:vAlign w:val="center"/>
          </w:tcPr>
          <w:p w14:paraId="5F3E39B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0" w:type="auto"/>
            <w:noWrap w:val="0"/>
            <w:vAlign w:val="center"/>
          </w:tcPr>
          <w:p w14:paraId="08A9517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充电模块功率</w:t>
            </w:r>
          </w:p>
        </w:tc>
        <w:tc>
          <w:tcPr>
            <w:tcW w:w="0" w:type="auto"/>
            <w:noWrap w:val="0"/>
            <w:vAlign w:val="center"/>
          </w:tcPr>
          <w:p w14:paraId="4FEC190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kW</w:t>
            </w:r>
          </w:p>
        </w:tc>
        <w:tc>
          <w:tcPr>
            <w:tcW w:w="0" w:type="auto"/>
            <w:noWrap w:val="0"/>
            <w:vAlign w:val="center"/>
          </w:tcPr>
          <w:p w14:paraId="08B0D43D">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0kW</w:t>
            </w:r>
          </w:p>
        </w:tc>
      </w:tr>
      <w:tr w14:paraId="6F248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0" w:type="auto"/>
            <w:noWrap w:val="0"/>
            <w:vAlign w:val="center"/>
          </w:tcPr>
          <w:p w14:paraId="3DEC8D4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5</w:t>
            </w:r>
          </w:p>
        </w:tc>
        <w:tc>
          <w:tcPr>
            <w:tcW w:w="0" w:type="auto"/>
            <w:noWrap w:val="0"/>
            <w:vAlign w:val="center"/>
          </w:tcPr>
          <w:p w14:paraId="26C9B2F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恒功率输出电压范围</w:t>
            </w:r>
          </w:p>
        </w:tc>
        <w:tc>
          <w:tcPr>
            <w:tcW w:w="0" w:type="auto"/>
            <w:noWrap w:val="0"/>
            <w:vAlign w:val="center"/>
          </w:tcPr>
          <w:p w14:paraId="366E18D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V</w:t>
            </w:r>
          </w:p>
        </w:tc>
        <w:tc>
          <w:tcPr>
            <w:tcW w:w="0" w:type="auto"/>
            <w:noWrap w:val="0"/>
            <w:vAlign w:val="center"/>
          </w:tcPr>
          <w:p w14:paraId="412269F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300-1000</w:t>
            </w:r>
          </w:p>
        </w:tc>
      </w:tr>
      <w:tr w14:paraId="5B46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exact"/>
          <w:jc w:val="center"/>
        </w:trPr>
        <w:tc>
          <w:tcPr>
            <w:tcW w:w="1055" w:type="dxa"/>
            <w:noWrap w:val="0"/>
            <w:vAlign w:val="center"/>
          </w:tcPr>
          <w:p w14:paraId="2E76CD5F">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0" w:type="auto"/>
            <w:noWrap w:val="0"/>
            <w:vAlign w:val="center"/>
          </w:tcPr>
          <w:p w14:paraId="29882FF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功率因数</w:t>
            </w:r>
          </w:p>
        </w:tc>
        <w:tc>
          <w:tcPr>
            <w:tcW w:w="0" w:type="auto"/>
            <w:noWrap w:val="0"/>
            <w:vAlign w:val="center"/>
          </w:tcPr>
          <w:p w14:paraId="7EE1D5D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7D75219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≥0.98（50%＜PO/PN ≤100%）</w:t>
            </w:r>
          </w:p>
          <w:p w14:paraId="02B71C0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≥0.95（20%≤PO/PN≤50%）</w:t>
            </w:r>
          </w:p>
          <w:p w14:paraId="06A197E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p w14:paraId="45EFEFB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r>
      <w:tr w14:paraId="54F75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exact"/>
          <w:jc w:val="center"/>
        </w:trPr>
        <w:tc>
          <w:tcPr>
            <w:tcW w:w="1055" w:type="dxa"/>
            <w:noWrap w:val="0"/>
            <w:vAlign w:val="center"/>
          </w:tcPr>
          <w:p w14:paraId="34822928">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0" w:type="auto"/>
            <w:noWrap w:val="0"/>
            <w:vAlign w:val="center"/>
          </w:tcPr>
          <w:p w14:paraId="10B078F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效率</w:t>
            </w:r>
          </w:p>
        </w:tc>
        <w:tc>
          <w:tcPr>
            <w:tcW w:w="0" w:type="auto"/>
            <w:noWrap w:val="0"/>
            <w:vAlign w:val="center"/>
          </w:tcPr>
          <w:p w14:paraId="4408E13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0E19CD4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≥93%（50%＜PO/PN≤100%）</w:t>
            </w:r>
          </w:p>
          <w:p w14:paraId="686339B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≥88%（20%≤PO/PN≤50%）</w:t>
            </w:r>
          </w:p>
        </w:tc>
      </w:tr>
      <w:tr w14:paraId="78433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055" w:type="dxa"/>
            <w:noWrap w:val="0"/>
            <w:vAlign w:val="center"/>
          </w:tcPr>
          <w:p w14:paraId="581B26B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0" w:type="auto"/>
            <w:noWrap w:val="0"/>
            <w:vAlign w:val="center"/>
          </w:tcPr>
          <w:p w14:paraId="6AFD9EB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电压精度</w:t>
            </w:r>
          </w:p>
        </w:tc>
        <w:tc>
          <w:tcPr>
            <w:tcW w:w="0" w:type="auto"/>
            <w:noWrap w:val="0"/>
            <w:vAlign w:val="center"/>
          </w:tcPr>
          <w:p w14:paraId="56C5E94D">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0" w:type="auto"/>
            <w:noWrap w:val="0"/>
            <w:vAlign w:val="center"/>
          </w:tcPr>
          <w:p w14:paraId="12A63BC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不超过±0.5%</w:t>
            </w:r>
          </w:p>
        </w:tc>
      </w:tr>
      <w:tr w14:paraId="57221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jc w:val="center"/>
        </w:trPr>
        <w:tc>
          <w:tcPr>
            <w:tcW w:w="1055" w:type="dxa"/>
            <w:noWrap w:val="0"/>
            <w:vAlign w:val="center"/>
          </w:tcPr>
          <w:p w14:paraId="3733DB12">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0" w:type="auto"/>
            <w:noWrap w:val="0"/>
            <w:vAlign w:val="center"/>
          </w:tcPr>
          <w:p w14:paraId="6452A22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电流精度</w:t>
            </w:r>
          </w:p>
        </w:tc>
        <w:tc>
          <w:tcPr>
            <w:tcW w:w="0" w:type="auto"/>
            <w:noWrap w:val="0"/>
            <w:vAlign w:val="center"/>
          </w:tcPr>
          <w:p w14:paraId="768440A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0" w:type="auto"/>
            <w:noWrap w:val="0"/>
            <w:vAlign w:val="center"/>
          </w:tcPr>
          <w:p w14:paraId="5CE32C3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≥30A：不超过±1%</w:t>
            </w:r>
          </w:p>
          <w:p w14:paraId="16EF1FC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＜30A：不超过±0.3A</w:t>
            </w:r>
          </w:p>
        </w:tc>
      </w:tr>
      <w:tr w14:paraId="7B8A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jc w:val="center"/>
        </w:trPr>
        <w:tc>
          <w:tcPr>
            <w:tcW w:w="1055" w:type="dxa"/>
            <w:noWrap w:val="0"/>
            <w:vAlign w:val="center"/>
          </w:tcPr>
          <w:p w14:paraId="4B89031C">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0" w:type="auto"/>
            <w:noWrap w:val="0"/>
            <w:vAlign w:val="center"/>
          </w:tcPr>
          <w:p w14:paraId="6C250EB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稳压精度</w:t>
            </w:r>
          </w:p>
        </w:tc>
        <w:tc>
          <w:tcPr>
            <w:tcW w:w="0" w:type="auto"/>
            <w:noWrap w:val="0"/>
            <w:vAlign w:val="center"/>
          </w:tcPr>
          <w:p w14:paraId="63874D6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0" w:type="auto"/>
            <w:noWrap w:val="0"/>
            <w:vAlign w:val="center"/>
          </w:tcPr>
          <w:p w14:paraId="220980B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不超过±0.5%</w:t>
            </w:r>
          </w:p>
        </w:tc>
      </w:tr>
      <w:tr w14:paraId="5B602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exact"/>
          <w:jc w:val="center"/>
        </w:trPr>
        <w:tc>
          <w:tcPr>
            <w:tcW w:w="1055" w:type="dxa"/>
            <w:noWrap w:val="0"/>
            <w:vAlign w:val="center"/>
          </w:tcPr>
          <w:p w14:paraId="1762C12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0" w:type="auto"/>
            <w:noWrap w:val="0"/>
            <w:vAlign w:val="center"/>
          </w:tcPr>
          <w:p w14:paraId="6371075D">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稳流精度</w:t>
            </w:r>
          </w:p>
        </w:tc>
        <w:tc>
          <w:tcPr>
            <w:tcW w:w="0" w:type="auto"/>
            <w:noWrap w:val="0"/>
            <w:vAlign w:val="center"/>
          </w:tcPr>
          <w:p w14:paraId="3C18120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0" w:type="auto"/>
            <w:noWrap w:val="0"/>
            <w:vAlign w:val="center"/>
          </w:tcPr>
          <w:p w14:paraId="0D9E6AE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不超过±1.0%</w:t>
            </w:r>
          </w:p>
        </w:tc>
      </w:tr>
      <w:tr w14:paraId="22DDF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exact"/>
          <w:jc w:val="center"/>
        </w:trPr>
        <w:tc>
          <w:tcPr>
            <w:tcW w:w="1055" w:type="dxa"/>
            <w:noWrap w:val="0"/>
            <w:vAlign w:val="center"/>
          </w:tcPr>
          <w:p w14:paraId="5ACA525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0" w:type="auto"/>
            <w:noWrap w:val="0"/>
            <w:vAlign w:val="center"/>
          </w:tcPr>
          <w:p w14:paraId="647CDF0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纹波系数</w:t>
            </w:r>
          </w:p>
        </w:tc>
        <w:tc>
          <w:tcPr>
            <w:tcW w:w="0" w:type="auto"/>
            <w:noWrap w:val="0"/>
            <w:vAlign w:val="center"/>
          </w:tcPr>
          <w:p w14:paraId="351C5A5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0" w:type="auto"/>
            <w:noWrap w:val="0"/>
            <w:vAlign w:val="center"/>
          </w:tcPr>
          <w:p w14:paraId="5AB5126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峰值：不超过±1%</w:t>
            </w:r>
          </w:p>
        </w:tc>
      </w:tr>
      <w:tr w14:paraId="0181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jc w:val="center"/>
        </w:trPr>
        <w:tc>
          <w:tcPr>
            <w:tcW w:w="1055" w:type="dxa"/>
            <w:noWrap w:val="0"/>
            <w:vAlign w:val="center"/>
          </w:tcPr>
          <w:p w14:paraId="05C20674">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w:t>
            </w:r>
          </w:p>
        </w:tc>
        <w:tc>
          <w:tcPr>
            <w:tcW w:w="0" w:type="auto"/>
            <w:noWrap w:val="0"/>
            <w:vAlign w:val="center"/>
          </w:tcPr>
          <w:p w14:paraId="2813691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噪声</w:t>
            </w:r>
          </w:p>
        </w:tc>
        <w:tc>
          <w:tcPr>
            <w:tcW w:w="0" w:type="auto"/>
            <w:noWrap w:val="0"/>
            <w:vAlign w:val="center"/>
          </w:tcPr>
          <w:p w14:paraId="5E9DBEC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4B38603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满足国标Ⅱ级要求</w:t>
            </w:r>
          </w:p>
        </w:tc>
      </w:tr>
      <w:tr w14:paraId="516BA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1055" w:type="dxa"/>
            <w:noWrap w:val="0"/>
            <w:vAlign w:val="center"/>
          </w:tcPr>
          <w:p w14:paraId="2814FDA1">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14</w:t>
            </w:r>
          </w:p>
        </w:tc>
        <w:tc>
          <w:tcPr>
            <w:tcW w:w="0" w:type="auto"/>
            <w:noWrap w:val="0"/>
            <w:vAlign w:val="center"/>
          </w:tcPr>
          <w:p w14:paraId="4A46A98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静电放电抗扰度</w:t>
            </w:r>
          </w:p>
        </w:tc>
        <w:tc>
          <w:tcPr>
            <w:tcW w:w="0" w:type="auto"/>
            <w:noWrap w:val="0"/>
            <w:vAlign w:val="center"/>
          </w:tcPr>
          <w:p w14:paraId="6E1774D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275825E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3级</w:t>
            </w:r>
          </w:p>
        </w:tc>
      </w:tr>
      <w:tr w14:paraId="09AEF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exact"/>
          <w:jc w:val="center"/>
        </w:trPr>
        <w:tc>
          <w:tcPr>
            <w:tcW w:w="1055" w:type="dxa"/>
            <w:noWrap w:val="0"/>
            <w:vAlign w:val="center"/>
          </w:tcPr>
          <w:p w14:paraId="54C7579A">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0" w:type="auto"/>
            <w:noWrap w:val="0"/>
            <w:vAlign w:val="center"/>
          </w:tcPr>
          <w:p w14:paraId="288DC73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射频电磁场辐射抗扰度</w:t>
            </w:r>
          </w:p>
        </w:tc>
        <w:tc>
          <w:tcPr>
            <w:tcW w:w="0" w:type="auto"/>
            <w:noWrap w:val="0"/>
            <w:vAlign w:val="center"/>
          </w:tcPr>
          <w:p w14:paraId="4DEEFCB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50D41C7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3级</w:t>
            </w:r>
          </w:p>
        </w:tc>
      </w:tr>
      <w:tr w14:paraId="559AD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1055" w:type="dxa"/>
            <w:noWrap w:val="0"/>
            <w:vAlign w:val="center"/>
          </w:tcPr>
          <w:p w14:paraId="1CA171F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w:t>
            </w:r>
          </w:p>
        </w:tc>
        <w:tc>
          <w:tcPr>
            <w:tcW w:w="0" w:type="auto"/>
            <w:noWrap w:val="0"/>
            <w:vAlign w:val="center"/>
          </w:tcPr>
          <w:p w14:paraId="5D4133A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电快速瞬变脉冲群抗扰度</w:t>
            </w:r>
          </w:p>
        </w:tc>
        <w:tc>
          <w:tcPr>
            <w:tcW w:w="0" w:type="auto"/>
            <w:noWrap w:val="0"/>
            <w:vAlign w:val="center"/>
          </w:tcPr>
          <w:p w14:paraId="09D79B6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06E0C5B3">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3级</w:t>
            </w:r>
          </w:p>
        </w:tc>
      </w:tr>
      <w:tr w14:paraId="2D96F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jc w:val="center"/>
        </w:trPr>
        <w:tc>
          <w:tcPr>
            <w:tcW w:w="1055" w:type="dxa"/>
            <w:noWrap w:val="0"/>
            <w:vAlign w:val="center"/>
          </w:tcPr>
          <w:p w14:paraId="45D3D1F6">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w:t>
            </w:r>
          </w:p>
        </w:tc>
        <w:tc>
          <w:tcPr>
            <w:tcW w:w="0" w:type="auto"/>
            <w:noWrap w:val="0"/>
            <w:vAlign w:val="center"/>
          </w:tcPr>
          <w:p w14:paraId="3C9B03B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浪涌（冲击）抗扰度</w:t>
            </w:r>
          </w:p>
        </w:tc>
        <w:tc>
          <w:tcPr>
            <w:tcW w:w="0" w:type="auto"/>
            <w:noWrap w:val="0"/>
            <w:vAlign w:val="center"/>
          </w:tcPr>
          <w:p w14:paraId="3DBAA07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3953449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3级</w:t>
            </w:r>
          </w:p>
        </w:tc>
      </w:tr>
      <w:tr w14:paraId="26A45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exact"/>
          <w:jc w:val="center"/>
        </w:trPr>
        <w:tc>
          <w:tcPr>
            <w:tcW w:w="1055" w:type="dxa"/>
            <w:noWrap w:val="0"/>
            <w:vAlign w:val="center"/>
          </w:tcPr>
          <w:p w14:paraId="08C6AC2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18</w:t>
            </w:r>
          </w:p>
        </w:tc>
        <w:tc>
          <w:tcPr>
            <w:tcW w:w="0" w:type="auto"/>
            <w:noWrap w:val="0"/>
            <w:vAlign w:val="center"/>
          </w:tcPr>
          <w:p w14:paraId="1C0E08E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防护等级</w:t>
            </w:r>
          </w:p>
        </w:tc>
        <w:tc>
          <w:tcPr>
            <w:tcW w:w="0" w:type="auto"/>
            <w:noWrap w:val="0"/>
            <w:vAlign w:val="center"/>
          </w:tcPr>
          <w:p w14:paraId="1004BA5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233651D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IP54</w:t>
            </w:r>
          </w:p>
        </w:tc>
      </w:tr>
      <w:tr w14:paraId="4422B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jc w:val="center"/>
        </w:trPr>
        <w:tc>
          <w:tcPr>
            <w:tcW w:w="1055" w:type="dxa"/>
            <w:noWrap w:val="0"/>
            <w:vAlign w:val="center"/>
          </w:tcPr>
          <w:p w14:paraId="1DA90AB0">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19</w:t>
            </w:r>
          </w:p>
        </w:tc>
        <w:tc>
          <w:tcPr>
            <w:tcW w:w="0" w:type="auto"/>
            <w:noWrap w:val="0"/>
            <w:vAlign w:val="center"/>
          </w:tcPr>
          <w:p w14:paraId="498FF9B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通信方式</w:t>
            </w:r>
          </w:p>
        </w:tc>
        <w:tc>
          <w:tcPr>
            <w:tcW w:w="0" w:type="auto"/>
            <w:noWrap w:val="0"/>
            <w:vAlign w:val="center"/>
          </w:tcPr>
          <w:p w14:paraId="4E5AB98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37634C6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4G/以太网</w:t>
            </w:r>
          </w:p>
        </w:tc>
      </w:tr>
      <w:tr w14:paraId="6DA19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exact"/>
          <w:jc w:val="center"/>
        </w:trPr>
        <w:tc>
          <w:tcPr>
            <w:tcW w:w="1055" w:type="dxa"/>
            <w:noWrap w:val="0"/>
            <w:vAlign w:val="center"/>
          </w:tcPr>
          <w:p w14:paraId="5A5D6B85">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0" w:type="auto"/>
            <w:noWrap w:val="0"/>
            <w:vAlign w:val="center"/>
          </w:tcPr>
          <w:p w14:paraId="009933F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人机交互</w:t>
            </w:r>
          </w:p>
        </w:tc>
        <w:tc>
          <w:tcPr>
            <w:tcW w:w="0" w:type="auto"/>
            <w:noWrap w:val="0"/>
            <w:vAlign w:val="center"/>
          </w:tcPr>
          <w:p w14:paraId="1E91AF8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tc>
        <w:tc>
          <w:tcPr>
            <w:tcW w:w="0" w:type="auto"/>
            <w:noWrap w:val="0"/>
            <w:vAlign w:val="center"/>
          </w:tcPr>
          <w:p w14:paraId="20C0C5F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7寸真彩液晶触摸屏</w:t>
            </w:r>
          </w:p>
        </w:tc>
      </w:tr>
    </w:tbl>
    <w:p w14:paraId="4554B5D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lang w:val="en-US" w:eastAsia="zh-CN"/>
        </w:rPr>
      </w:pPr>
    </w:p>
    <w:p w14:paraId="38C4B28D">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结构形式</w:t>
      </w:r>
    </w:p>
    <w:p w14:paraId="6C38B0A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充电系统为分体式结构，基本构成包括充电主机和充电终端，充电主机与充电终端应可分开放置，便于场站整体规划布局及设备使用操作。</w:t>
      </w:r>
    </w:p>
    <w:p w14:paraId="5502F24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1）充电主机是充电机的控制中心和通信枢纽，将三相交流输入转换为直流输出，实现充电机的充电控制、与BMS通信获取电池状态和运行信息，同时获取电能计量表数据，完成充电计费和充电过程的联动控制，并将计量计费、充电机工作信息传送给充电站监控系统，同时负责与充电监控平台交换数据、接收并执行充电监控平台下送的控制命令。</w:t>
      </w:r>
    </w:p>
    <w:p w14:paraId="3D48812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（2）充电终端应具备人机交互的功能</w:t>
      </w:r>
    </w:p>
    <w:p w14:paraId="5ADF2F8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（3）充电机整流部分应为模块化设计，当部分模块出现故障时，应不影响其他模块和整台设备的正常使用。</w:t>
      </w:r>
    </w:p>
    <w:p w14:paraId="50E76BA0">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auto"/>
        <w:rPr>
          <w:rFonts w:hint="eastAsia" w:ascii="宋体" w:hAnsi="宋体" w:eastAsia="宋体" w:cs="宋体"/>
          <w:sz w:val="21"/>
          <w:szCs w:val="21"/>
        </w:rPr>
      </w:pPr>
      <w:r>
        <w:rPr>
          <w:rFonts w:hint="eastAsia" w:ascii="宋体" w:hAnsi="宋体" w:eastAsia="宋体" w:cs="宋体"/>
          <w:sz w:val="21"/>
          <w:szCs w:val="21"/>
        </w:rPr>
        <w:t>（4）实现充电机增容改造，且改造方案不应存在技术壁垒。</w:t>
      </w:r>
    </w:p>
    <w:p w14:paraId="2167B9E7">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auto"/>
        <w:rPr>
          <w:rFonts w:hint="eastAsia" w:ascii="宋体" w:hAnsi="宋体" w:eastAsia="宋体" w:cs="宋体"/>
          <w:sz w:val="21"/>
          <w:szCs w:val="21"/>
        </w:rPr>
      </w:pPr>
      <w:r>
        <w:rPr>
          <w:rFonts w:hint="eastAsia" w:ascii="宋体" w:hAnsi="宋体" w:eastAsia="宋体" w:cs="宋体"/>
          <w:sz w:val="21"/>
          <w:szCs w:val="21"/>
        </w:rPr>
        <w:t>（5）充电终端是自助式的，无需人工服务。</w:t>
      </w:r>
    </w:p>
    <w:p w14:paraId="4B133E46">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功能要求</w:t>
      </w:r>
    </w:p>
    <w:p w14:paraId="7460B9B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充电设定方式</w:t>
      </w:r>
    </w:p>
    <w:p w14:paraId="73DA2DA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在充电过程中，充电机依据电动汽车电池管理系统提供的数据动态调整充电参数，执行相应动作，完成充电过程。</w:t>
      </w:r>
    </w:p>
    <w:p w14:paraId="6C28158E">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充电控制</w:t>
      </w:r>
    </w:p>
    <w:p w14:paraId="6EF6981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具备VIN自动识别充电：通过插枪，自动识别车辆BMS传回VIN码，自动启动充电或遵循后台设置的启动充电时间，自动启动；充电结束后，自动停止，充电未结束时，通过手机、PAD、PC等终端，可直接选择充电枪，终止充电。</w:t>
      </w:r>
    </w:p>
    <w:p w14:paraId="2D1077F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b）定时充电功能：可以自动或手动设置充电时间，充分利用低谷电价，降低运营成本。</w:t>
      </w:r>
    </w:p>
    <w:p w14:paraId="3F4573C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c）一键启动充电功能：可以通过一键启动给通过绝缘检测通信正常的车辆启动充电。</w:t>
      </w:r>
    </w:p>
    <w:p w14:paraId="7769662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充电策略</w:t>
      </w:r>
    </w:p>
    <w:p w14:paraId="57596BE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a）负载平均调度策略：充电功率单元平均分配到不同的充电枪上。即各充电枪的负载率基本相同，充电功率单元优先分配到负载率低的充电枪上。</w:t>
      </w:r>
    </w:p>
    <w:p w14:paraId="5771A0E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b）模块平均调度策略：充电功率单元平均分配到不同的充电枪上，根据不同枪的需求，保证各个充电枪模块数量近似均分。</w:t>
      </w:r>
    </w:p>
    <w:p w14:paraId="7695B05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c）优先级调度策略：按照充电枪的优先级进行调度功率，优先级越高的充电枪优先分配功率。</w:t>
      </w:r>
    </w:p>
    <w:p w14:paraId="31B6487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d）时间优先调度策略：按照插枪的时间先后顺序优先进行充电，充电功率优先分配给早插枪的充电枪。</w:t>
      </w:r>
    </w:p>
    <w:p w14:paraId="41E6ADA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e）平台可以下发多个充电策略，下发后，设备可以根据设置自动切换。</w:t>
      </w:r>
    </w:p>
    <w:p w14:paraId="364F34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同时，在分配中需根据分配策略的设置进行充电功率调度。影响功率分配还包括“待分配优先标识”用于能够启动优先级低、后启动充电的充电枪，所有启动的充电枪都能分配到功率启动充电。当充电系统存在处于待分配状态的充电枪时，充电功率将优先分配给待分配的充电枪以保障能够启动充电。</w:t>
      </w:r>
    </w:p>
    <w:p w14:paraId="3EC155A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充电模式和连接方式</w:t>
      </w:r>
    </w:p>
    <w:p w14:paraId="255EB21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充电机应采用GB/T18487.1-20</w:t>
      </w:r>
      <w:r>
        <w:rPr>
          <w:rFonts w:hint="eastAsia" w:ascii="宋体" w:hAnsi="宋体" w:eastAsia="宋体" w:cs="宋体"/>
          <w:sz w:val="21"/>
          <w:szCs w:val="21"/>
          <w:lang w:val="en-US" w:eastAsia="zh-CN"/>
        </w:rPr>
        <w:t>23</w:t>
      </w:r>
      <w:r>
        <w:rPr>
          <w:rFonts w:hint="eastAsia" w:ascii="宋体" w:hAnsi="宋体" w:eastAsia="宋体" w:cs="宋体"/>
          <w:sz w:val="21"/>
          <w:szCs w:val="21"/>
        </w:rPr>
        <w:t>附录B中规定的充电模式4和连接方式C对电动汽车进行充电。充电连接装置应满足GB/T20234.1-20</w:t>
      </w:r>
      <w:r>
        <w:rPr>
          <w:rFonts w:hint="eastAsia" w:ascii="宋体" w:hAnsi="宋体" w:eastAsia="宋体" w:cs="宋体"/>
          <w:sz w:val="21"/>
          <w:szCs w:val="21"/>
          <w:lang w:val="en-US" w:eastAsia="zh-CN"/>
        </w:rPr>
        <w:t>23</w:t>
      </w:r>
      <w:r>
        <w:rPr>
          <w:rFonts w:hint="eastAsia" w:ascii="宋体" w:hAnsi="宋体" w:eastAsia="宋体" w:cs="宋体"/>
          <w:sz w:val="21"/>
          <w:szCs w:val="21"/>
        </w:rPr>
        <w:t>和 GB/T20234.3-20</w:t>
      </w:r>
      <w:r>
        <w:rPr>
          <w:rFonts w:hint="eastAsia" w:ascii="宋体" w:hAnsi="宋体" w:eastAsia="宋体" w:cs="宋体"/>
          <w:sz w:val="21"/>
          <w:szCs w:val="21"/>
          <w:lang w:val="en-US" w:eastAsia="zh-CN"/>
        </w:rPr>
        <w:t>23</w:t>
      </w:r>
      <w:r>
        <w:rPr>
          <w:rFonts w:hint="eastAsia" w:ascii="宋体" w:hAnsi="宋体" w:eastAsia="宋体" w:cs="宋体"/>
          <w:sz w:val="21"/>
          <w:szCs w:val="21"/>
        </w:rPr>
        <w:t>的规定。</w:t>
      </w:r>
    </w:p>
    <w:p w14:paraId="4A285A5D">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充电操作方式</w:t>
      </w:r>
    </w:p>
    <w:p w14:paraId="195CBA5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kern w:val="0"/>
          <w:sz w:val="21"/>
          <w:szCs w:val="21"/>
        </w:rPr>
      </w:pPr>
      <w:r>
        <w:rPr>
          <w:rFonts w:hint="eastAsia" w:ascii="宋体" w:hAnsi="宋体" w:eastAsia="宋体" w:cs="宋体"/>
          <w:sz w:val="21"/>
          <w:szCs w:val="21"/>
        </w:rPr>
        <w:t>支持多种方式充电操作，支持通过即插即充、定时自动启动、刷卡（CPU卡）、手动启停、远程控制启动、手机扫描充电机或充电终端二维码等方式进行充电控制。</w:t>
      </w:r>
    </w:p>
    <w:p w14:paraId="188B13B1">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kern w:val="0"/>
          <w:sz w:val="21"/>
          <w:szCs w:val="21"/>
        </w:rPr>
      </w:pPr>
      <w:r>
        <w:rPr>
          <w:rFonts w:hint="eastAsia" w:ascii="宋体" w:hAnsi="宋体" w:eastAsia="宋体" w:cs="宋体"/>
          <w:b/>
          <w:bCs/>
          <w:kern w:val="0"/>
          <w:sz w:val="21"/>
          <w:szCs w:val="21"/>
        </w:rPr>
        <w:t>动态功率分配功能</w:t>
      </w:r>
    </w:p>
    <w:p w14:paraId="1180EDD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分体式充电机应采用矩阵</w:t>
      </w:r>
      <w:r>
        <w:rPr>
          <w:rFonts w:hint="eastAsia" w:ascii="宋体" w:hAnsi="宋体" w:eastAsia="宋体" w:cs="宋体"/>
          <w:sz w:val="21"/>
          <w:szCs w:val="21"/>
          <w:lang w:val="en-US" w:eastAsia="zh-CN"/>
        </w:rPr>
        <w:t>式</w:t>
      </w:r>
      <w:r>
        <w:rPr>
          <w:rFonts w:hint="eastAsia" w:ascii="宋体" w:hAnsi="宋体" w:eastAsia="宋体" w:cs="宋体"/>
          <w:sz w:val="21"/>
          <w:szCs w:val="21"/>
        </w:rPr>
        <w:t>功率控制设计，</w:t>
      </w:r>
      <w:r>
        <w:rPr>
          <w:rFonts w:hint="eastAsia" w:ascii="宋体" w:hAnsi="宋体" w:eastAsia="宋体" w:cs="宋体"/>
          <w:sz w:val="21"/>
          <w:szCs w:val="21"/>
          <w:lang w:val="en-US" w:eastAsia="zh-CN"/>
        </w:rPr>
        <w:t>根据充电枪的功率适配，调度充电</w:t>
      </w:r>
      <w:r>
        <w:rPr>
          <w:rFonts w:hint="eastAsia" w:ascii="宋体" w:hAnsi="宋体" w:eastAsia="宋体" w:cs="宋体"/>
          <w:sz w:val="21"/>
          <w:szCs w:val="21"/>
        </w:rPr>
        <w:t>模块</w:t>
      </w:r>
      <w:r>
        <w:rPr>
          <w:rFonts w:hint="eastAsia" w:ascii="宋体" w:hAnsi="宋体" w:eastAsia="宋体" w:cs="宋体"/>
          <w:sz w:val="21"/>
          <w:szCs w:val="21"/>
          <w:lang w:val="en-US" w:eastAsia="zh-CN"/>
        </w:rPr>
        <w:t>，</w:t>
      </w:r>
      <w:r>
        <w:rPr>
          <w:rFonts w:hint="eastAsia" w:ascii="宋体" w:hAnsi="宋体" w:eastAsia="宋体" w:cs="宋体"/>
          <w:sz w:val="21"/>
          <w:szCs w:val="21"/>
        </w:rPr>
        <w:t>减少综合损耗，提高模块利用率</w:t>
      </w:r>
      <w:r>
        <w:rPr>
          <w:rFonts w:hint="eastAsia" w:ascii="宋体" w:hAnsi="宋体" w:eastAsia="宋体" w:cs="宋体"/>
          <w:sz w:val="21"/>
          <w:szCs w:val="21"/>
          <w:lang w:eastAsia="zh-CN"/>
        </w:rPr>
        <w:t>。</w:t>
      </w:r>
      <w:r>
        <w:rPr>
          <w:rFonts w:hint="eastAsia" w:ascii="宋体" w:hAnsi="宋体" w:eastAsia="宋体" w:cs="宋体"/>
          <w:sz w:val="21"/>
          <w:szCs w:val="21"/>
        </w:rPr>
        <w:t>在充电过程中，充电机根据用户充电请求、电池充电需求、当前功率变换单元负荷状态，按预定的控制策略动态调整分配连接至各充电接口功率变换模块（充电模块）的数量。</w:t>
      </w:r>
    </w:p>
    <w:p w14:paraId="79E297E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充电机扩容</w:t>
      </w:r>
    </w:p>
    <w:p w14:paraId="2C39AD8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充电机应能并机扩展当充电机配置功率不能满足充电需要时，应能通过增加充电柜的方式扩展充电功率。扩展后，原充电机柜与扩展充电柜共同组成一套充电系统，具备自动功率分配功能</w:t>
      </w:r>
      <w:r>
        <w:rPr>
          <w:rFonts w:hint="eastAsia" w:ascii="宋体" w:hAnsi="宋体" w:cs="宋体"/>
          <w:sz w:val="21"/>
          <w:szCs w:val="21"/>
          <w:lang w:eastAsia="zh-CN"/>
        </w:rPr>
        <w:t>，</w:t>
      </w:r>
      <w:r>
        <w:rPr>
          <w:rFonts w:hint="eastAsia" w:ascii="宋体" w:hAnsi="宋体" w:cs="宋体"/>
          <w:sz w:val="21"/>
          <w:szCs w:val="21"/>
          <w:lang w:val="en-US" w:eastAsia="zh-CN"/>
        </w:rPr>
        <w:t>每个模块可以调度到每把枪</w:t>
      </w:r>
      <w:r>
        <w:rPr>
          <w:rFonts w:hint="eastAsia" w:ascii="宋体" w:hAnsi="宋体" w:eastAsia="宋体" w:cs="宋体"/>
          <w:sz w:val="21"/>
          <w:szCs w:val="21"/>
        </w:rPr>
        <w:t>。</w:t>
      </w:r>
    </w:p>
    <w:p w14:paraId="636B1BF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主动防护设计</w:t>
      </w:r>
    </w:p>
    <w:p w14:paraId="603ABB0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具备主动监测电动汽车 BMS 运行状态、电池特性参数及充电机自身的运行状态等功能，须采用安全冗余设计，主动诊断并处理故障和异常，实现电动汽车充电过程的主动防护。</w:t>
      </w:r>
    </w:p>
    <w:p w14:paraId="5E8A5B6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能够对BMS的保护需求进行及时响应。</w:t>
      </w:r>
    </w:p>
    <w:p w14:paraId="725484B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直流充电机能够对充电过程中动力电池的安全事故进行预警，至少包括电池组内温度偏高故障、单体电池超过截止电压故障、绝缘故障、热失控故障预警功能。</w:t>
      </w:r>
    </w:p>
    <w:p w14:paraId="2EC3A0D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控制导引和控制时序</w:t>
      </w:r>
    </w:p>
    <w:p w14:paraId="5922AEB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充电机应具备控制导引功能。</w:t>
      </w:r>
    </w:p>
    <w:p w14:paraId="2B8D0AD8">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充电机与电池管理系统通信功能</w:t>
      </w:r>
    </w:p>
    <w:p w14:paraId="5C1F44D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具备与电动汽车BMS或车辆控制器通信的功能，能判断充电机是否与电动汽车动力蓄电池系统正确连接；获得电动汽车BMS或车辆控制器充电参数和充电实时数据。充电机与电动汽车BMS或车辆控制器之间的通信协议应符合GB/T27930-20</w:t>
      </w:r>
      <w:r>
        <w:rPr>
          <w:rFonts w:hint="eastAsia" w:ascii="宋体" w:hAnsi="宋体" w:eastAsia="宋体" w:cs="宋体"/>
          <w:sz w:val="21"/>
          <w:szCs w:val="21"/>
          <w:lang w:val="en-US" w:eastAsia="zh-CN"/>
        </w:rPr>
        <w:t>23</w:t>
      </w:r>
      <w:r>
        <w:rPr>
          <w:rFonts w:hint="eastAsia" w:ascii="宋体" w:hAnsi="宋体" w:eastAsia="宋体" w:cs="宋体"/>
          <w:sz w:val="21"/>
          <w:szCs w:val="21"/>
        </w:rPr>
        <w:t>的规定。</w:t>
      </w:r>
    </w:p>
    <w:p w14:paraId="7FC4E2E0">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计量功能</w:t>
      </w:r>
    </w:p>
    <w:p w14:paraId="1F2E8E9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充电机电能计量功能符合 GB/T 29318 的规定</w:t>
      </w:r>
      <w:r>
        <w:rPr>
          <w:rFonts w:hint="eastAsia" w:ascii="宋体" w:hAnsi="宋体" w:cs="宋体"/>
          <w:sz w:val="21"/>
          <w:szCs w:val="21"/>
          <w:highlight w:val="none"/>
          <w:lang w:val="en-US" w:eastAsia="zh-CN"/>
        </w:rPr>
        <w:t>，直流电能表精确度等级不低于2.0级。</w:t>
      </w:r>
    </w:p>
    <w:p w14:paraId="53A70EB5">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kern w:val="0"/>
          <w:sz w:val="21"/>
          <w:szCs w:val="21"/>
        </w:rPr>
      </w:pPr>
      <w:r>
        <w:rPr>
          <w:rFonts w:hint="eastAsia" w:ascii="宋体" w:hAnsi="宋体" w:eastAsia="宋体" w:cs="宋体"/>
          <w:b/>
          <w:bCs/>
          <w:kern w:val="0"/>
          <w:sz w:val="21"/>
          <w:szCs w:val="21"/>
        </w:rPr>
        <w:t>显示与输入功能</w:t>
      </w:r>
    </w:p>
    <w:p w14:paraId="087307A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充电机应配置显示和输入设备，采用7寸电容彩色液晶显示屏实现人机交互功能，显示信息字符清晰、完整，应不依靠环境光源即可辨认。</w:t>
      </w:r>
    </w:p>
    <w:p w14:paraId="5DFAE52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充电机应显示下列信息,包括但不限于</w:t>
      </w:r>
    </w:p>
    <w:p w14:paraId="4062523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——运行状态指示：待机、充电、告警/故障；</w:t>
      </w:r>
    </w:p>
    <w:p w14:paraId="32CAB26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——手动设定过程中的人工输入信息；</w:t>
      </w:r>
    </w:p>
    <w:p w14:paraId="3740C90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——电池当前SOC、充电电压、充电电流、充电功率、电池类型、电容量；</w:t>
      </w:r>
    </w:p>
    <w:p w14:paraId="0CBB60A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——已充电时间、已充电电量。</w:t>
      </w:r>
    </w:p>
    <w:p w14:paraId="31601FB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——告警/故障信息。</w:t>
      </w:r>
    </w:p>
    <w:p w14:paraId="726B692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——最高单体电池电压、最高电池温度；</w:t>
      </w:r>
    </w:p>
    <w:p w14:paraId="020ACDA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——充电电压需求、充电电流需求、充电模式。</w:t>
      </w:r>
    </w:p>
    <w:p w14:paraId="2EF4BB3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绝缘检测功能</w:t>
      </w:r>
    </w:p>
    <w:p w14:paraId="37F3E0E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充电机应具备对直流输出回路进行绝缘检测的功能，并且充电机的绝缘检测功能应与车辆绝缘检测功能相配合。</w:t>
      </w:r>
    </w:p>
    <w:p w14:paraId="045DC667">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直流输出回路短路检测功能</w:t>
      </w:r>
    </w:p>
    <w:p w14:paraId="0E38277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充电机应具备对直流输出回路进行短路检测的功能，充电机的短路检测在绝缘检测阶段进行，当直流输出回路出现短路故障时，应停止充电过程并发出告警提示。</w:t>
      </w:r>
    </w:p>
    <w:p w14:paraId="571ECED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车辆插头锁止功能</w:t>
      </w:r>
    </w:p>
    <w:p w14:paraId="4D5B411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充电机车辆插头应具备锁止装置</w:t>
      </w:r>
    </w:p>
    <w:p w14:paraId="6EA905AA">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预充电功能</w:t>
      </w:r>
    </w:p>
    <w:p w14:paraId="66598EA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rPr>
        <w:t>充电机应具备预充电功能。</w:t>
      </w:r>
    </w:p>
    <w:p w14:paraId="20E1F2B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急停功能</w:t>
      </w:r>
    </w:p>
    <w:p w14:paraId="244C2CA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sz w:val="21"/>
          <w:szCs w:val="21"/>
        </w:rPr>
      </w:pPr>
      <w:r>
        <w:rPr>
          <w:rFonts w:hint="eastAsia" w:ascii="宋体" w:hAnsi="宋体" w:eastAsia="宋体" w:cs="宋体"/>
          <w:color w:val="000000"/>
          <w:kern w:val="0"/>
          <w:sz w:val="21"/>
          <w:szCs w:val="21"/>
        </w:rPr>
        <w:t>充电</w:t>
      </w:r>
      <w:r>
        <w:rPr>
          <w:rFonts w:hint="eastAsia" w:ascii="宋体" w:hAnsi="宋体" w:eastAsia="宋体" w:cs="宋体"/>
          <w:color w:val="000000"/>
          <w:kern w:val="0"/>
          <w:sz w:val="21"/>
          <w:szCs w:val="21"/>
          <w:lang w:val="en-US" w:eastAsia="zh-CN"/>
        </w:rPr>
        <w:t>终端</w:t>
      </w:r>
      <w:r>
        <w:rPr>
          <w:rFonts w:hint="eastAsia" w:ascii="宋体" w:hAnsi="宋体" w:eastAsia="宋体" w:cs="宋体"/>
          <w:color w:val="000000"/>
          <w:kern w:val="0"/>
          <w:sz w:val="21"/>
          <w:szCs w:val="21"/>
        </w:rPr>
        <w:t>应安装急停装置，且具备防止误操作的防护措施。急停按钮外部加防护罩，只有破坏防护罩才能按下急停按钮，防止误操作和人为破坏，防护罩需采用亚克力等不宜老化材料。</w:t>
      </w:r>
    </w:p>
    <w:p w14:paraId="652BA209">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远程功能</w:t>
      </w:r>
    </w:p>
    <w:p w14:paraId="716433C3">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充电机系统联网后通过招标人运营管理平台控制，配合平台实现设备远程升级。</w:t>
      </w:r>
    </w:p>
    <w:p w14:paraId="2EAA62A6">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掉电保存功能</w:t>
      </w:r>
    </w:p>
    <w:p w14:paraId="6FBB47B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掉电保存功能。在充电过程中，当充电机出现电源断电情况时，应能将充电电能计量、故障异常报警、充电交易记录等信息保存至本地；当电源恢复充电机正常工作后，应能将保存数据上传至招标人运营管理平台。</w:t>
      </w:r>
    </w:p>
    <w:p w14:paraId="3D7172F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kern w:val="0"/>
          <w:sz w:val="21"/>
          <w:szCs w:val="21"/>
        </w:rPr>
      </w:pPr>
      <w:r>
        <w:rPr>
          <w:rFonts w:hint="eastAsia" w:ascii="宋体" w:hAnsi="宋体" w:eastAsia="宋体" w:cs="宋体"/>
          <w:color w:val="000000"/>
          <w:kern w:val="0"/>
          <w:sz w:val="21"/>
          <w:szCs w:val="21"/>
        </w:rPr>
        <w:t>充电机与运营管理平台通信出现故障时（如离网等），在保障安全的前提下不中断充电（可设置），并将相关信息进行本地存储，待网络恢复后应能将保存数据上传至招标人运营管理平台。充电机系统应具备断线重连机制，在离网期间，充电机系统能够按照招标人的要求，不间断的与招标人运营管理平台尝试重连，确保在网络恢复时，充电机能够及时上线。</w:t>
      </w:r>
    </w:p>
    <w:p w14:paraId="573515CC">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保护功能</w:t>
      </w:r>
    </w:p>
    <w:p w14:paraId="3C2C6D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充电机应具备电源输入侧的过压保护、欠压保护。</w:t>
      </w:r>
    </w:p>
    <w:p w14:paraId="6EA1CB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充电机应具备输出过压保护。</w:t>
      </w:r>
    </w:p>
    <w:p w14:paraId="6F1243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充电机应能够提供车辆侧供电回路及电缆的短路电流保护，短路保护设备的I²t值不应超过500000 A²s。</w:t>
      </w:r>
    </w:p>
    <w:p w14:paraId="56625B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充电机应具备过温保护，当内部温度达到保护阈值时，采取降功率或停止输出。</w:t>
      </w:r>
    </w:p>
    <w:p w14:paraId="24BBB8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充电机应具备开门保护，当充电机门打开造成带电部分露出时，分体式充电机应切断相应部分的电源输出。</w:t>
      </w:r>
    </w:p>
    <w:p w14:paraId="684F1B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充电过程中当发生下列情况时，充电机应能在100 ms内断开直流输出：</w:t>
      </w:r>
    </w:p>
    <w:p w14:paraId="66D54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——充电机启动急停装置；</w:t>
      </w:r>
    </w:p>
    <w:p w14:paraId="7F00D7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——充电机与电动汽车间的保护接地线断开；</w:t>
      </w:r>
    </w:p>
    <w:p w14:paraId="15F785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——充电机与电动汽车间的连接检测信号线断开。</w:t>
      </w:r>
    </w:p>
    <w:p w14:paraId="040C2E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充电机应具备限制输入电流过冲的能力，开机或启动充电时产生的输入电流过冲不应大于额定输入电流峰值的10 ％。</w:t>
      </w:r>
    </w:p>
    <w:p w14:paraId="4E382F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充电机直流输出接触器接通时，或者动态功率分配充电模块接入时，发生的车辆到充电设备或充电设备到车辆的冲击电流（峰值）应控制在20 A以下。</w:t>
      </w:r>
    </w:p>
    <w:p w14:paraId="46CF54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在启动充电阶段车辆侧接触器闭合后，充电机应对车辆电池电压进行检测，当出现下列情况时，充电机应停止启动过程，并发出告警信息：</w:t>
      </w:r>
    </w:p>
    <w:p w14:paraId="1A5187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——蓄电池反接；</w:t>
      </w:r>
    </w:p>
    <w:p w14:paraId="5C96D4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——检测电压与通信报文电池电压之差的绝对值大于通信报文电池电压的5 ％；</w:t>
      </w:r>
    </w:p>
    <w:p w14:paraId="329D1B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——检测电压小于充电机的最低输出电压或大于充电机的额定输出电压。</w:t>
      </w:r>
    </w:p>
    <w:p w14:paraId="384E13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充电机应具备对电动汽车动力蓄电池二重保护功能，在充电过程中，当检测到输出电压大于车辆最高允许充电总电压，或电流响应结束后检测到输出电流大于车辆当前需求电流的110 ％（当前需求电流值大于等于30 A时）或大于车辆当前需求电流+3 A（当前需求电流值小于30 A时），充电机应在1 s内断开直流输出，并发出告警信息。</w:t>
      </w:r>
    </w:p>
    <w:p w14:paraId="419551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充电机应在启动充电前进行供电回路直流接触器触点粘连检测，也可以在直流接触器断开后进行触点粘连检测。当检测到任何一个直流接触器的主触点出现粘连情况时，充电机不应启动充电，并发出告警信息。</w:t>
      </w:r>
    </w:p>
    <w:p w14:paraId="2B4522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充电机在充电过程中，当检测到与电动汽车BMS或车辆控制器发生通信中断时，充电机应停止充电，并发出告警信息。</w:t>
      </w:r>
    </w:p>
    <w:p w14:paraId="0E67B6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充电机应在充电握手阶段判断电池管理系统报文中的最高允许充电总电压值，当检测到该值小于充电机最低输出电压时，应停止绝缘监测进程，并发出告警信息。</w:t>
      </w:r>
    </w:p>
    <w:p w14:paraId="1AF5AC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充电机应在充电阶段实时判断电池管理系统报文中的电压需求和电流需求值，当检测到该值大于车辆最高允许充电总电压或最高允许充电电流时，充电机应停止充电，并发出告警信息。</w:t>
      </w:r>
    </w:p>
    <w:p w14:paraId="20F2ED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充电机的雷电防护应符合GB/T 18487.1－20</w:t>
      </w:r>
      <w:r>
        <w:rPr>
          <w:rFonts w:hint="eastAsia" w:ascii="宋体" w:hAnsi="宋体" w:eastAsia="宋体" w:cs="宋体"/>
          <w:color w:val="000000"/>
          <w:kern w:val="0"/>
          <w:sz w:val="21"/>
          <w:szCs w:val="21"/>
          <w:lang w:val="en-US" w:eastAsia="zh-CN"/>
        </w:rPr>
        <w:t>23</w:t>
      </w:r>
      <w:r>
        <w:rPr>
          <w:rFonts w:hint="eastAsia" w:ascii="宋体" w:hAnsi="宋体" w:eastAsia="宋体" w:cs="宋体"/>
          <w:color w:val="000000"/>
          <w:kern w:val="0"/>
          <w:sz w:val="21"/>
          <w:szCs w:val="21"/>
        </w:rPr>
        <w:t>中11.7条的规定。</w:t>
      </w:r>
    </w:p>
    <w:p w14:paraId="03B49DF8">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环境适应要求</w:t>
      </w:r>
    </w:p>
    <w:p w14:paraId="7D45824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防护等级</w:t>
      </w:r>
    </w:p>
    <w:p w14:paraId="6511D9C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充电机外壳防护等级不应低于GB/T 4208中下列的规定：</w:t>
      </w:r>
    </w:p>
    <w:p w14:paraId="6806D34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a）</w:t>
      </w:r>
      <w:r>
        <w:rPr>
          <w:rFonts w:hint="eastAsia" w:ascii="宋体" w:hAnsi="宋体" w:eastAsia="宋体" w:cs="宋体"/>
          <w:color w:val="000000"/>
          <w:kern w:val="0"/>
          <w:sz w:val="21"/>
          <w:szCs w:val="21"/>
        </w:rPr>
        <w:tab/>
      </w:r>
      <w:r>
        <w:rPr>
          <w:rFonts w:hint="eastAsia" w:ascii="宋体" w:hAnsi="宋体" w:eastAsia="宋体" w:cs="宋体"/>
          <w:color w:val="000000"/>
          <w:kern w:val="0"/>
          <w:sz w:val="21"/>
          <w:szCs w:val="21"/>
        </w:rPr>
        <w:t>IP54（室外使用）；</w:t>
      </w:r>
    </w:p>
    <w:p w14:paraId="45611CF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b）</w:t>
      </w:r>
      <w:r>
        <w:rPr>
          <w:rFonts w:hint="eastAsia" w:ascii="宋体" w:hAnsi="宋体" w:eastAsia="宋体" w:cs="宋体"/>
          <w:color w:val="000000"/>
          <w:kern w:val="0"/>
          <w:sz w:val="21"/>
          <w:szCs w:val="21"/>
        </w:rPr>
        <w:tab/>
      </w:r>
      <w:r>
        <w:rPr>
          <w:rFonts w:hint="eastAsia" w:ascii="宋体" w:hAnsi="宋体" w:eastAsia="宋体" w:cs="宋体"/>
          <w:color w:val="000000"/>
          <w:kern w:val="0"/>
          <w:sz w:val="21"/>
          <w:szCs w:val="21"/>
        </w:rPr>
        <w:t>IP32（室内使用）；</w:t>
      </w:r>
    </w:p>
    <w:p w14:paraId="648F06C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c）</w:t>
      </w:r>
      <w:r>
        <w:rPr>
          <w:rFonts w:hint="eastAsia" w:ascii="宋体" w:hAnsi="宋体" w:eastAsia="宋体" w:cs="宋体"/>
          <w:color w:val="000000"/>
          <w:kern w:val="0"/>
          <w:sz w:val="21"/>
          <w:szCs w:val="21"/>
        </w:rPr>
        <w:tab/>
      </w:r>
      <w:r>
        <w:rPr>
          <w:rFonts w:hint="eastAsia" w:ascii="宋体" w:hAnsi="宋体" w:eastAsia="宋体" w:cs="宋体"/>
          <w:color w:val="000000"/>
          <w:kern w:val="0"/>
          <w:sz w:val="21"/>
          <w:szCs w:val="21"/>
        </w:rPr>
        <w:t>IP54（室内暴露于污染的工业环境）。</w:t>
      </w:r>
    </w:p>
    <w:p w14:paraId="0DA7960D">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内部温升要求</w:t>
      </w:r>
    </w:p>
    <w:p w14:paraId="62012DF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动力电源输入电流所流经的回路，如接线端子、输入断路器、输入接触器等；功率变换单元及其内部元器件、输入输出端子；直流输出电流所流经的回路，如接线端子、直流熔断器、直流接触器、功率电阻、电流采样分流器、车辆插头等。这些发热元器件及部件的最高温度小于等于元器件及部件最大耐受温度的90％，且不应影响周围元器件的正常工作和无元器件损坏。</w:t>
      </w:r>
    </w:p>
    <w:p w14:paraId="5238DDB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在正常试验条件下，输入为额定值，充电机在最大输出电流下长期运行，内部各发热元器件及各部位连接端子处的温升不应大于表2的规定。</w:t>
      </w:r>
    </w:p>
    <w:p w14:paraId="6504231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表2  充电机内部温升</w:t>
      </w:r>
    </w:p>
    <w:tbl>
      <w:tblPr>
        <w:tblStyle w:val="7"/>
        <w:tblW w:w="6885" w:type="dxa"/>
        <w:jc w:val="center"/>
        <w:tblLayout w:type="fixed"/>
        <w:tblCellMar>
          <w:top w:w="0" w:type="dxa"/>
          <w:left w:w="108" w:type="dxa"/>
          <w:bottom w:w="0" w:type="dxa"/>
          <w:right w:w="108" w:type="dxa"/>
        </w:tblCellMar>
      </w:tblPr>
      <w:tblGrid>
        <w:gridCol w:w="4050"/>
        <w:gridCol w:w="2835"/>
      </w:tblGrid>
      <w:tr w14:paraId="77B8E686">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0552B82E">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内部测试点</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68D4DD6F">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极 限 温 升K</w:t>
            </w:r>
          </w:p>
        </w:tc>
      </w:tr>
      <w:tr w14:paraId="4D48BF1C">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78E8E908">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动力电源输入端子</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5FB5742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r>
      <w:tr w14:paraId="01EC3AF8">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3DCCE638">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输入断路器、接触器接线端子</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61546EE6">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r>
      <w:tr w14:paraId="6FEFE401">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52383881">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塑料绝缘线</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2784BBE8">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w:t>
            </w:r>
          </w:p>
        </w:tc>
      </w:tr>
      <w:tr w14:paraId="41722898">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0BA7C2A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充电模块输入输出连接端子</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2D8EAC5E">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r>
      <w:tr w14:paraId="29658E6C">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770C4B16">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功率电阻</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38D503F8">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25（距外表30 mm处空间）</w:t>
            </w:r>
          </w:p>
        </w:tc>
      </w:tr>
      <w:tr w14:paraId="2F319272">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3545C9D7">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电流采样分流器端子连接处</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2AEB053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70</w:t>
            </w:r>
          </w:p>
        </w:tc>
      </w:tr>
      <w:tr w14:paraId="297585A5">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5178F69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熔断器端子连接处</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76518E2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70</w:t>
            </w:r>
          </w:p>
        </w:tc>
      </w:tr>
      <w:tr w14:paraId="267659C1">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2FABF417">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直流接触器外壳与极柱</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7555D33C">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r>
      <w:tr w14:paraId="1B144189">
        <w:tblPrEx>
          <w:tblCellMar>
            <w:top w:w="0" w:type="dxa"/>
            <w:left w:w="108" w:type="dxa"/>
            <w:bottom w:w="0" w:type="dxa"/>
            <w:right w:w="108" w:type="dxa"/>
          </w:tblCellMar>
        </w:tblPrEx>
        <w:trPr>
          <w:trHeight w:val="340" w:hRule="atLeast"/>
          <w:jc w:val="center"/>
        </w:trPr>
        <w:tc>
          <w:tcPr>
            <w:tcW w:w="4050" w:type="dxa"/>
            <w:tcBorders>
              <w:top w:val="single" w:color="000000" w:sz="8" w:space="0"/>
              <w:left w:val="single" w:color="000000" w:sz="8" w:space="0"/>
              <w:bottom w:val="single" w:color="000000" w:sz="8" w:space="0"/>
              <w:right w:val="single" w:color="000000" w:sz="8" w:space="0"/>
            </w:tcBorders>
            <w:noWrap w:val="0"/>
            <w:vAlign w:val="center"/>
          </w:tcPr>
          <w:p w14:paraId="134A1237">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直流输出接线端子</w:t>
            </w:r>
          </w:p>
        </w:tc>
        <w:tc>
          <w:tcPr>
            <w:tcW w:w="2835" w:type="dxa"/>
            <w:tcBorders>
              <w:top w:val="single" w:color="000000" w:sz="8" w:space="0"/>
              <w:left w:val="single" w:color="000000" w:sz="8" w:space="0"/>
              <w:bottom w:val="single" w:color="000000" w:sz="8" w:space="0"/>
              <w:right w:val="single" w:color="auto" w:sz="4" w:space="0"/>
            </w:tcBorders>
            <w:noWrap w:val="0"/>
            <w:vAlign w:val="center"/>
          </w:tcPr>
          <w:p w14:paraId="79594A5E">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r>
    </w:tbl>
    <w:p w14:paraId="734960DE">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安全要求</w:t>
      </w:r>
    </w:p>
    <w:p w14:paraId="25FC83F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允许温度</w:t>
      </w:r>
    </w:p>
    <w:p w14:paraId="03AF2DD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充电机的表面温度应符合GB/T 18487.1－20</w:t>
      </w:r>
      <w:r>
        <w:rPr>
          <w:rFonts w:hint="eastAsia" w:ascii="宋体" w:hAnsi="宋体" w:eastAsia="宋体" w:cs="宋体"/>
          <w:color w:val="000000"/>
          <w:kern w:val="0"/>
          <w:sz w:val="21"/>
          <w:szCs w:val="21"/>
          <w:lang w:val="en-US" w:eastAsia="zh-CN"/>
        </w:rPr>
        <w:t>23</w:t>
      </w:r>
      <w:r>
        <w:rPr>
          <w:rFonts w:hint="eastAsia" w:ascii="宋体" w:hAnsi="宋体" w:eastAsia="宋体" w:cs="宋体"/>
          <w:color w:val="000000"/>
          <w:kern w:val="0"/>
          <w:sz w:val="21"/>
          <w:szCs w:val="21"/>
        </w:rPr>
        <w:t>中</w:t>
      </w:r>
      <w:r>
        <w:rPr>
          <w:rFonts w:hint="eastAsia" w:ascii="宋体" w:hAnsi="宋体" w:eastAsia="宋体" w:cs="宋体"/>
          <w:color w:val="000000"/>
          <w:kern w:val="0"/>
          <w:sz w:val="21"/>
          <w:szCs w:val="21"/>
          <w:lang w:val="en-US" w:eastAsia="zh-CN"/>
        </w:rPr>
        <w:t>12.5.3</w:t>
      </w:r>
      <w:r>
        <w:rPr>
          <w:rFonts w:hint="eastAsia" w:ascii="宋体" w:hAnsi="宋体" w:eastAsia="宋体" w:cs="宋体"/>
          <w:color w:val="000000"/>
          <w:kern w:val="0"/>
          <w:sz w:val="21"/>
          <w:szCs w:val="21"/>
        </w:rPr>
        <w:t>条的规定。在额定电流和环境温度 40℃条件下，手握可接触的表面最高允许温度为：</w:t>
      </w:r>
    </w:p>
    <w:p w14:paraId="6878962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——50℃金属部分；</w:t>
      </w:r>
    </w:p>
    <w:p w14:paraId="159EB82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——60℃非金属部分。 </w:t>
      </w:r>
    </w:p>
    <w:p w14:paraId="654AB8F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同样条件下，用户可能触及但是不能手握的表面最高允许温度为：</w:t>
      </w:r>
    </w:p>
    <w:p w14:paraId="67FF621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——60℃金属部分；</w:t>
      </w:r>
    </w:p>
    <w:p w14:paraId="3AF11A2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——85℃非金属部分。 </w:t>
      </w:r>
    </w:p>
    <w:p w14:paraId="460A5123">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供电设备应设计为： </w:t>
      </w:r>
    </w:p>
    <w:p w14:paraId="14AC0EF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——接触部分不超过特定温度； </w:t>
      </w:r>
    </w:p>
    <w:p w14:paraId="69A0813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——组件、部分、绝缘体和塑料材料不超过在设施寿命周期内正常使用时可能降低电气 、机械或其他性能的温度。 </w:t>
      </w:r>
    </w:p>
    <w:p w14:paraId="4159D30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电击防护</w:t>
      </w:r>
    </w:p>
    <w:p w14:paraId="3C3548E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充电机的电击防护应符合GB/T 18487.1-20</w:t>
      </w:r>
      <w:r>
        <w:rPr>
          <w:rFonts w:hint="eastAsia" w:ascii="宋体" w:hAnsi="宋体" w:eastAsia="宋体" w:cs="宋体"/>
          <w:color w:val="000000"/>
          <w:kern w:val="0"/>
          <w:sz w:val="21"/>
          <w:szCs w:val="21"/>
          <w:lang w:val="en-US" w:eastAsia="zh-CN"/>
        </w:rPr>
        <w:t>23</w:t>
      </w:r>
      <w:r>
        <w:rPr>
          <w:rFonts w:hint="eastAsia" w:ascii="宋体" w:hAnsi="宋体" w:eastAsia="宋体" w:cs="宋体"/>
          <w:color w:val="000000"/>
          <w:kern w:val="0"/>
          <w:sz w:val="21"/>
          <w:szCs w:val="21"/>
        </w:rPr>
        <w:t>中第7章的要求。</w:t>
      </w:r>
    </w:p>
    <w:p w14:paraId="4A4EDD6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充电机的电气间隙和爬电距离应符合GB/T 18487.1－20</w:t>
      </w:r>
      <w:r>
        <w:rPr>
          <w:rFonts w:hint="eastAsia" w:ascii="宋体" w:hAnsi="宋体" w:eastAsia="宋体" w:cs="宋体"/>
          <w:color w:val="000000"/>
          <w:kern w:val="0"/>
          <w:sz w:val="21"/>
          <w:szCs w:val="21"/>
          <w:lang w:val="en-US" w:eastAsia="zh-CN"/>
        </w:rPr>
        <w:t>23</w:t>
      </w:r>
      <w:r>
        <w:rPr>
          <w:rFonts w:hint="eastAsia" w:ascii="宋体" w:hAnsi="宋体" w:eastAsia="宋体" w:cs="宋体"/>
          <w:color w:val="000000"/>
          <w:kern w:val="0"/>
          <w:sz w:val="21"/>
          <w:szCs w:val="21"/>
        </w:rPr>
        <w:t>中</w:t>
      </w:r>
      <w:r>
        <w:rPr>
          <w:rFonts w:hint="eastAsia" w:ascii="宋体" w:hAnsi="宋体" w:eastAsia="宋体" w:cs="宋体"/>
          <w:color w:val="000000"/>
          <w:kern w:val="0"/>
          <w:sz w:val="21"/>
          <w:szCs w:val="21"/>
          <w:lang w:val="en-US" w:eastAsia="zh-CN"/>
        </w:rPr>
        <w:t>11.4</w:t>
      </w:r>
      <w:r>
        <w:rPr>
          <w:rFonts w:hint="eastAsia" w:ascii="宋体" w:hAnsi="宋体" w:eastAsia="宋体" w:cs="宋体"/>
          <w:color w:val="000000"/>
          <w:kern w:val="0"/>
          <w:sz w:val="21"/>
          <w:szCs w:val="21"/>
        </w:rPr>
        <w:t>条的规定。</w:t>
      </w:r>
    </w:p>
    <w:p w14:paraId="1221527B">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接地要求</w:t>
      </w:r>
    </w:p>
    <w:p w14:paraId="7C009E6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充电机的接地应符合下列要求：</w:t>
      </w:r>
    </w:p>
    <w:p w14:paraId="637DC7B3">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充电机金属壳体应设置接地端子（螺栓），其直径不应小于6 mm，并应有接地标志；</w:t>
      </w:r>
    </w:p>
    <w:p w14:paraId="60300A7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充电机金属材质的门板、盖板、覆板和类似部件，应采用铜质保护导体将这些部件和充电机的结构主体框架连接，且保护导体的截面积不应小于2.5 mm2；</w:t>
      </w:r>
    </w:p>
    <w:p w14:paraId="7163F97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所有作为隔离带电导体的金属外壳、隔板，电气装置的金属外壳以及金属手柄等，均应有效等电位连接，且接地连续性电阻不应大于0.1Ω；</w:t>
      </w:r>
    </w:p>
    <w:p w14:paraId="167796D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充电机内的工作接地与保护接地应单独连接到接地导体（铜排）上，不应在一个接地线中串接多个需要接地的电气装置。</w:t>
      </w:r>
    </w:p>
    <w:p w14:paraId="0D2B0012">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电气绝缘性能</w:t>
      </w:r>
    </w:p>
    <w:p w14:paraId="6D3602C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绝缘电阻</w:t>
      </w:r>
    </w:p>
    <w:p w14:paraId="4CAF27C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用开路电压为表</w:t>
      </w: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rPr>
        <w:t>规定的电压等级的测试仪器，测量充电机非电气连接的各带电回路之间、各独立带电回路与地（金属外壳）之间绝缘电阻不应小于10 MΩ。</w:t>
      </w:r>
    </w:p>
    <w:p w14:paraId="4815936D">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介电强度</w:t>
      </w:r>
    </w:p>
    <w:p w14:paraId="2E11067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充电机非电气连接的各带电回路之间、各独立带电回路与地（金属外壳）之间，按其工作电压应能承受表3所规定历时1 min的工频交流电压（也可采用直流电压，试验电压为交流电压有效值的1.4倍）。试验过程中，试验部位不应出现绝缘击穿和闪络现象。</w:t>
      </w:r>
    </w:p>
    <w:p w14:paraId="191A3A29">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冲击电压</w:t>
      </w:r>
    </w:p>
    <w:p w14:paraId="1EF58AFF">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充电机非电气连接的各带电回路之间、各独立带电回路与地（金属外壳）之间，按其工作电压应能承受表3所规定的标准雷电波短时冲击电压试验。在试验过程中，试验部位不应出现击穿放电。</w:t>
      </w:r>
    </w:p>
    <w:p w14:paraId="01D6BC0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表3  绝缘试验的试验等级</w:t>
      </w:r>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833"/>
        <w:gridCol w:w="2649"/>
        <w:gridCol w:w="1801"/>
        <w:gridCol w:w="1802"/>
      </w:tblGrid>
      <w:tr w14:paraId="4CC58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100" w:type="dxa"/>
            <w:noWrap w:val="0"/>
            <w:vAlign w:val="center"/>
          </w:tcPr>
          <w:p w14:paraId="3DD64DBF">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额定绝缘电压Ui</w:t>
            </w:r>
          </w:p>
          <w:p w14:paraId="7CDB3F5C">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V</w:t>
            </w:r>
          </w:p>
        </w:tc>
        <w:tc>
          <w:tcPr>
            <w:tcW w:w="3045" w:type="dxa"/>
            <w:noWrap w:val="0"/>
            <w:vAlign w:val="center"/>
          </w:tcPr>
          <w:p w14:paraId="6136A0F5">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绝缘电阻测试仪器的电压等级</w:t>
            </w:r>
          </w:p>
          <w:p w14:paraId="42AA09A5">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V</w:t>
            </w:r>
          </w:p>
        </w:tc>
        <w:tc>
          <w:tcPr>
            <w:tcW w:w="2064" w:type="dxa"/>
            <w:noWrap w:val="0"/>
            <w:vAlign w:val="center"/>
          </w:tcPr>
          <w:p w14:paraId="33C916B4">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介电强度试验电压</w:t>
            </w:r>
          </w:p>
          <w:p w14:paraId="560B355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V</w:t>
            </w:r>
          </w:p>
        </w:tc>
        <w:tc>
          <w:tcPr>
            <w:tcW w:w="2065" w:type="dxa"/>
            <w:noWrap w:val="0"/>
            <w:vAlign w:val="center"/>
          </w:tcPr>
          <w:p w14:paraId="6914C9EC">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冲击耐压试验电压</w:t>
            </w:r>
          </w:p>
          <w:p w14:paraId="4028875A">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kV</w:t>
            </w:r>
          </w:p>
        </w:tc>
      </w:tr>
      <w:tr w14:paraId="6D28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9" w:hRule="atLeast"/>
          <w:jc w:val="center"/>
        </w:trPr>
        <w:tc>
          <w:tcPr>
            <w:tcW w:w="2100" w:type="dxa"/>
            <w:noWrap w:val="0"/>
            <w:vAlign w:val="center"/>
          </w:tcPr>
          <w:p w14:paraId="4EF46FEF">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Ui≤60</w:t>
            </w:r>
          </w:p>
        </w:tc>
        <w:tc>
          <w:tcPr>
            <w:tcW w:w="3045" w:type="dxa"/>
            <w:noWrap w:val="0"/>
            <w:vAlign w:val="center"/>
          </w:tcPr>
          <w:p w14:paraId="19E9E3C6">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250</w:t>
            </w:r>
          </w:p>
        </w:tc>
        <w:tc>
          <w:tcPr>
            <w:tcW w:w="2064" w:type="dxa"/>
            <w:noWrap w:val="0"/>
            <w:vAlign w:val="center"/>
          </w:tcPr>
          <w:p w14:paraId="28D3389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1000(1400）</w:t>
            </w:r>
          </w:p>
        </w:tc>
        <w:tc>
          <w:tcPr>
            <w:tcW w:w="2065" w:type="dxa"/>
            <w:noWrap w:val="0"/>
            <w:vAlign w:val="center"/>
          </w:tcPr>
          <w:p w14:paraId="01BC185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511CC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9" w:hRule="atLeast"/>
          <w:jc w:val="center"/>
        </w:trPr>
        <w:tc>
          <w:tcPr>
            <w:tcW w:w="2100" w:type="dxa"/>
            <w:noWrap w:val="0"/>
            <w:vAlign w:val="center"/>
          </w:tcPr>
          <w:p w14:paraId="1867B97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60＜Ui≤300</w:t>
            </w:r>
          </w:p>
        </w:tc>
        <w:tc>
          <w:tcPr>
            <w:tcW w:w="3045" w:type="dxa"/>
            <w:noWrap w:val="0"/>
            <w:vAlign w:val="center"/>
          </w:tcPr>
          <w:p w14:paraId="5C9F68A6">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500</w:t>
            </w:r>
          </w:p>
        </w:tc>
        <w:tc>
          <w:tcPr>
            <w:tcW w:w="2064" w:type="dxa"/>
            <w:noWrap w:val="0"/>
            <w:vAlign w:val="center"/>
          </w:tcPr>
          <w:p w14:paraId="6E3F701F">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2000(2800）</w:t>
            </w:r>
          </w:p>
        </w:tc>
        <w:tc>
          <w:tcPr>
            <w:tcW w:w="2065" w:type="dxa"/>
            <w:noWrap w:val="0"/>
            <w:vAlign w:val="center"/>
          </w:tcPr>
          <w:p w14:paraId="6F92853C">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w:t>
            </w:r>
          </w:p>
        </w:tc>
      </w:tr>
      <w:tr w14:paraId="397BF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11" w:hRule="atLeast"/>
          <w:jc w:val="center"/>
        </w:trPr>
        <w:tc>
          <w:tcPr>
            <w:tcW w:w="2100" w:type="dxa"/>
            <w:noWrap w:val="0"/>
            <w:vAlign w:val="center"/>
          </w:tcPr>
          <w:p w14:paraId="395340B3">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300＜Ui≤700</w:t>
            </w:r>
          </w:p>
        </w:tc>
        <w:tc>
          <w:tcPr>
            <w:tcW w:w="3045" w:type="dxa"/>
            <w:noWrap w:val="0"/>
            <w:vAlign w:val="center"/>
          </w:tcPr>
          <w:p w14:paraId="529232D1">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1000</w:t>
            </w:r>
          </w:p>
        </w:tc>
        <w:tc>
          <w:tcPr>
            <w:tcW w:w="2064" w:type="dxa"/>
            <w:noWrap w:val="0"/>
            <w:vAlign w:val="center"/>
          </w:tcPr>
          <w:p w14:paraId="01AAE04C">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2400(3360）</w:t>
            </w:r>
          </w:p>
        </w:tc>
        <w:tc>
          <w:tcPr>
            <w:tcW w:w="2065" w:type="dxa"/>
            <w:noWrap w:val="0"/>
            <w:vAlign w:val="center"/>
          </w:tcPr>
          <w:p w14:paraId="12791AF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w:t>
            </w:r>
          </w:p>
        </w:tc>
      </w:tr>
      <w:tr w14:paraId="1DA1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2100" w:type="dxa"/>
            <w:noWrap w:val="0"/>
            <w:vAlign w:val="center"/>
          </w:tcPr>
          <w:p w14:paraId="644EDC0E">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700 ＜Ui≤ 950</w:t>
            </w:r>
          </w:p>
        </w:tc>
        <w:tc>
          <w:tcPr>
            <w:tcW w:w="3045" w:type="dxa"/>
            <w:noWrap w:val="0"/>
            <w:vAlign w:val="center"/>
          </w:tcPr>
          <w:p w14:paraId="0E546D32">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1000</w:t>
            </w:r>
          </w:p>
        </w:tc>
        <w:tc>
          <w:tcPr>
            <w:tcW w:w="2064" w:type="dxa"/>
            <w:noWrap w:val="0"/>
            <w:vAlign w:val="center"/>
          </w:tcPr>
          <w:p w14:paraId="0CF622F9">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2×Ui+1000</w:t>
            </w:r>
          </w:p>
          <w:p w14:paraId="61FAFAA2">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(2.8×Ui+1400）</w:t>
            </w:r>
          </w:p>
        </w:tc>
        <w:tc>
          <w:tcPr>
            <w:tcW w:w="2065" w:type="dxa"/>
            <w:noWrap w:val="0"/>
            <w:vAlign w:val="center"/>
          </w:tcPr>
          <w:p w14:paraId="3F414693">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w:t>
            </w:r>
          </w:p>
        </w:tc>
      </w:tr>
      <w:tr w14:paraId="0D74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0" w:hRule="atLeast"/>
          <w:jc w:val="center"/>
        </w:trPr>
        <w:tc>
          <w:tcPr>
            <w:tcW w:w="9274" w:type="dxa"/>
            <w:gridSpan w:val="4"/>
            <w:noWrap w:val="0"/>
            <w:vAlign w:val="center"/>
          </w:tcPr>
          <w:p w14:paraId="20482062">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注1：括号内数据为直流介电强度试验值。</w:t>
            </w:r>
          </w:p>
          <w:p w14:paraId="448A5324">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注2：出厂试验时，介电强度试验允许试验电压高于表中规定值的10 ％，试验时间1 s。</w:t>
            </w:r>
          </w:p>
        </w:tc>
      </w:tr>
    </w:tbl>
    <w:p w14:paraId="5D85F57E">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充电输出要求</w:t>
      </w:r>
    </w:p>
    <w:p w14:paraId="1E206367">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输出电压设定误差</w:t>
      </w:r>
    </w:p>
    <w:p w14:paraId="1209E58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在恒压状态下，直流输出电压设定在规定的相应调节范围内，充电机的输出电压误差不应超过±0.5％。</w:t>
      </w:r>
    </w:p>
    <w:p w14:paraId="6146BFA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输出电流设定误差</w:t>
      </w:r>
    </w:p>
    <w:p w14:paraId="12BAD51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在恒流状态下，输出直流电流设定在额定值的20 ％～最大输出电流值范围内，在设定的输出直流电流大于等于30 A时，输出电流误差不应超过±1 ％；在设定的输出直流电流小于30 A时，输出电流误差不应超过±0.3 A。</w:t>
      </w:r>
    </w:p>
    <w:p w14:paraId="503F058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稳流精度</w:t>
      </w:r>
    </w:p>
    <w:p w14:paraId="1F6D90A8">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当交流电源电压在额定值的±15%范围内变化，直流输出电压在规定的相应范围内变化时，输出直流电流在额定值的20 %～最大输出电流值范围内任一数值上，充电机输出电流稳流精度不应超过±1 ％。</w:t>
      </w:r>
    </w:p>
    <w:p w14:paraId="5229FCC6">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稳压精度</w:t>
      </w:r>
    </w:p>
    <w:p w14:paraId="5D477835">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当交流电源电压在额定值的±15%范围内变化，输出直流电流在0～最大输出电流值范围内变化时，输出直流电压在规定的相应调节范围内任一数值上，充电机的输出电压稳压精度不应超过±0.5%。</w:t>
      </w:r>
    </w:p>
    <w:p w14:paraId="7E16BCE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电压纹波因数</w:t>
      </w:r>
    </w:p>
    <w:p w14:paraId="72C4D1FC">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当输入电源电压在额定值±15%范围内变化，直流输出电流在0～最大输出电流值范围内变化时，输出直流电压在规定的相应调节范围任一数值上，充电机输出电压纹波峰值因数不应大于1%。</w:t>
      </w:r>
    </w:p>
    <w:p w14:paraId="5754951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限压、限流特性</w:t>
      </w:r>
    </w:p>
    <w:p w14:paraId="31ED65CE">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充电机在恒流状态下运行时，当输出直流电压超过限压整定值时，应能自动限制其输出电压的增加，转换为恒压充电状态。</w:t>
      </w:r>
    </w:p>
    <w:p w14:paraId="2064ED64">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充电机在恒压状态下运行时，当直流输出电流超过限流整定值时，应能立即进入限流充电状态，自动限制其输出电流的增加。</w:t>
      </w:r>
    </w:p>
    <w:p w14:paraId="46806CDB">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启动输出过冲</w:t>
      </w:r>
    </w:p>
    <w:p w14:paraId="7882AC51">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充电机应具备软启动功能，稳压工作开机启动过程中，输出电压过冲不应大于当前整定值的5 ％；稳流工作开机启动过程中，在设定的输出直流电流大于等于30 A时，输出电流过冲不应大于当前整定值的5 ％；在设定的输出直流电流小于30 A时，输出电流过冲不应大于1.5 A。</w:t>
      </w:r>
    </w:p>
    <w:p w14:paraId="7ED66AAB">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当充电机从暂停状态恢复充电状态时，应同样满足上述要求。</w:t>
      </w:r>
    </w:p>
    <w:p w14:paraId="34140A5B">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待机功耗</w:t>
      </w:r>
    </w:p>
    <w:p w14:paraId="32B285E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充电桩交流侧需配备交流接触器，在额定输入电压下，充电桩处于待机状态时，模块休眠不带电，插枪充电时唤醒模块，且待机功耗不大于N*30W。</w:t>
      </w:r>
    </w:p>
    <w:p w14:paraId="0C0304A2">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注：N表示充电接口数量。</w:t>
      </w:r>
    </w:p>
    <w:p w14:paraId="270CDF97">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效率、功率因数</w:t>
      </w:r>
    </w:p>
    <w:p w14:paraId="7EBDE060">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在额定输入电压下，充电机效率、输入功率因数应符合下表的要求。</w:t>
      </w:r>
    </w:p>
    <w:p w14:paraId="40A4D33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表</w:t>
      </w:r>
      <w:r>
        <w:rPr>
          <w:rFonts w:hint="eastAsia" w:ascii="宋体" w:hAnsi="宋体" w:eastAsia="宋体" w:cs="宋体"/>
          <w:color w:val="000000"/>
          <w:kern w:val="0"/>
          <w:sz w:val="21"/>
          <w:szCs w:val="21"/>
          <w:lang w:val="en-US" w:eastAsia="zh-CN"/>
        </w:rPr>
        <w:t>4</w:t>
      </w:r>
      <w:r>
        <w:rPr>
          <w:rFonts w:hint="eastAsia" w:ascii="宋体" w:hAnsi="宋体" w:eastAsia="宋体" w:cs="宋体"/>
          <w:color w:val="000000"/>
          <w:kern w:val="0"/>
          <w:sz w:val="21"/>
          <w:szCs w:val="21"/>
        </w:rPr>
        <w:t xml:space="preserve">  充电机效率、功率因数</w:t>
      </w:r>
    </w:p>
    <w:tbl>
      <w:tblPr>
        <w:tblStyle w:val="7"/>
        <w:tblW w:w="71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20"/>
        <w:gridCol w:w="1401"/>
        <w:gridCol w:w="2001"/>
      </w:tblGrid>
      <w:tr w14:paraId="25C59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0" w:type="dxa"/>
            <w:tcBorders>
              <w:top w:val="single" w:color="000000" w:sz="4" w:space="0"/>
              <w:left w:val="single" w:color="000000" w:sz="4" w:space="0"/>
              <w:bottom w:val="single" w:color="000000" w:sz="4" w:space="0"/>
              <w:right w:val="single" w:color="000000" w:sz="4" w:space="0"/>
            </w:tcBorders>
            <w:noWrap w:val="0"/>
            <w:vAlign w:val="center"/>
          </w:tcPr>
          <w:p w14:paraId="495DFF93">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实际输出功率Po /额定输出功率Pn</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0173262A">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效率</w:t>
            </w:r>
          </w:p>
        </w:tc>
        <w:tc>
          <w:tcPr>
            <w:tcW w:w="2001" w:type="dxa"/>
            <w:tcBorders>
              <w:top w:val="single" w:color="000000" w:sz="4" w:space="0"/>
              <w:left w:val="single" w:color="000000" w:sz="4" w:space="0"/>
              <w:bottom w:val="single" w:color="000000" w:sz="4" w:space="0"/>
              <w:right w:val="single" w:color="auto" w:sz="4" w:space="0"/>
            </w:tcBorders>
            <w:noWrap w:val="0"/>
            <w:vAlign w:val="center"/>
          </w:tcPr>
          <w:p w14:paraId="06E3DC8E">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功率因数</w:t>
            </w:r>
          </w:p>
        </w:tc>
      </w:tr>
      <w:tr w14:paraId="3D87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0" w:type="dxa"/>
            <w:tcBorders>
              <w:top w:val="single" w:color="000000" w:sz="4" w:space="0"/>
              <w:left w:val="single" w:color="000000" w:sz="4" w:space="0"/>
              <w:bottom w:val="single" w:color="000000" w:sz="4" w:space="0"/>
              <w:right w:val="single" w:color="000000" w:sz="4" w:space="0"/>
            </w:tcBorders>
            <w:noWrap w:val="0"/>
            <w:vAlign w:val="center"/>
          </w:tcPr>
          <w:p w14:paraId="13883A0F">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20％≤Po/Pn≤50％</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1EAF6110">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≥88％</w:t>
            </w:r>
          </w:p>
        </w:tc>
        <w:tc>
          <w:tcPr>
            <w:tcW w:w="2001" w:type="dxa"/>
            <w:tcBorders>
              <w:top w:val="single" w:color="000000" w:sz="4" w:space="0"/>
              <w:left w:val="single" w:color="000000" w:sz="4" w:space="0"/>
              <w:bottom w:val="single" w:color="000000" w:sz="4" w:space="0"/>
              <w:right w:val="single" w:color="auto" w:sz="4" w:space="0"/>
            </w:tcBorders>
            <w:noWrap w:val="0"/>
            <w:vAlign w:val="center"/>
          </w:tcPr>
          <w:p w14:paraId="152AFDCB">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≥0.95</w:t>
            </w:r>
          </w:p>
        </w:tc>
      </w:tr>
      <w:tr w14:paraId="3205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0" w:type="dxa"/>
            <w:tcBorders>
              <w:top w:val="single" w:color="000000" w:sz="4" w:space="0"/>
              <w:left w:val="single" w:color="000000" w:sz="4" w:space="0"/>
              <w:bottom w:val="single" w:color="000000" w:sz="4" w:space="0"/>
              <w:right w:val="single" w:color="000000" w:sz="4" w:space="0"/>
            </w:tcBorders>
            <w:noWrap w:val="0"/>
            <w:vAlign w:val="center"/>
          </w:tcPr>
          <w:p w14:paraId="75321F9B">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50％＜Po/Pn≤100％</w:t>
            </w:r>
          </w:p>
        </w:tc>
        <w:tc>
          <w:tcPr>
            <w:tcW w:w="1401" w:type="dxa"/>
            <w:tcBorders>
              <w:top w:val="single" w:color="000000" w:sz="4" w:space="0"/>
              <w:left w:val="single" w:color="000000" w:sz="4" w:space="0"/>
              <w:bottom w:val="single" w:color="000000" w:sz="4" w:space="0"/>
              <w:right w:val="single" w:color="000000" w:sz="4" w:space="0"/>
            </w:tcBorders>
            <w:noWrap w:val="0"/>
            <w:vAlign w:val="center"/>
          </w:tcPr>
          <w:p w14:paraId="58256D7F">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≥93％</w:t>
            </w:r>
          </w:p>
        </w:tc>
        <w:tc>
          <w:tcPr>
            <w:tcW w:w="2001" w:type="dxa"/>
            <w:tcBorders>
              <w:top w:val="single" w:color="000000" w:sz="4" w:space="0"/>
              <w:left w:val="single" w:color="000000" w:sz="4" w:space="0"/>
              <w:bottom w:val="single" w:color="000000" w:sz="4" w:space="0"/>
              <w:right w:val="single" w:color="auto" w:sz="4" w:space="0"/>
            </w:tcBorders>
            <w:noWrap w:val="0"/>
            <w:vAlign w:val="center"/>
          </w:tcPr>
          <w:p w14:paraId="10637CC1">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≥0.98</w:t>
            </w:r>
          </w:p>
        </w:tc>
      </w:tr>
    </w:tbl>
    <w:p w14:paraId="632B3CAD">
      <w:pPr>
        <w:pStyle w:val="3"/>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噪声</w:t>
      </w:r>
    </w:p>
    <w:p w14:paraId="400257CA">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正常试验条件下，交流输入为额定值，充电机在额定输出功率下且内部温度稳定后，在周围环境噪声不大于40 dB的条件下，距离充电机水平位置1 m处，测得噪声最大值应符合表</w:t>
      </w:r>
      <w:r>
        <w:rPr>
          <w:rFonts w:hint="eastAsia" w:ascii="宋体" w:hAnsi="宋体" w:eastAsia="宋体" w:cs="宋体"/>
          <w:color w:val="000000"/>
          <w:kern w:val="0"/>
          <w:sz w:val="21"/>
          <w:szCs w:val="21"/>
          <w:lang w:val="en-US" w:eastAsia="zh-CN"/>
        </w:rPr>
        <w:t>5</w:t>
      </w:r>
      <w:r>
        <w:rPr>
          <w:rFonts w:hint="eastAsia" w:ascii="宋体" w:hAnsi="宋体" w:eastAsia="宋体" w:cs="宋体"/>
          <w:color w:val="000000"/>
          <w:kern w:val="0"/>
          <w:sz w:val="21"/>
          <w:szCs w:val="21"/>
        </w:rPr>
        <w:t>的要求。</w:t>
      </w:r>
    </w:p>
    <w:p w14:paraId="1956E39A">
      <w:pPr>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表</w:t>
      </w:r>
      <w:r>
        <w:rPr>
          <w:rFonts w:hint="eastAsia" w:ascii="宋体" w:hAnsi="宋体" w:eastAsia="宋体" w:cs="宋体"/>
          <w:color w:val="000000"/>
          <w:kern w:val="0"/>
          <w:sz w:val="21"/>
          <w:szCs w:val="21"/>
          <w:lang w:val="en-US" w:eastAsia="zh-CN"/>
        </w:rPr>
        <w:t>5</w:t>
      </w:r>
      <w:r>
        <w:rPr>
          <w:rFonts w:hint="eastAsia" w:ascii="宋体" w:hAnsi="宋体" w:eastAsia="宋体" w:cs="宋体"/>
          <w:color w:val="000000"/>
          <w:kern w:val="0"/>
          <w:sz w:val="21"/>
          <w:szCs w:val="21"/>
        </w:rPr>
        <w:t>噪声级别要求</w:t>
      </w:r>
    </w:p>
    <w:tbl>
      <w:tblPr>
        <w:tblStyle w:val="7"/>
        <w:tblW w:w="5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695"/>
      </w:tblGrid>
      <w:tr w14:paraId="2188D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2552" w:type="dxa"/>
            <w:tcBorders>
              <w:top w:val="single" w:color="000000" w:sz="4" w:space="0"/>
              <w:left w:val="single" w:color="000000" w:sz="4" w:space="0"/>
              <w:bottom w:val="single" w:color="000000" w:sz="4" w:space="0"/>
              <w:right w:val="single" w:color="000000" w:sz="4" w:space="0"/>
            </w:tcBorders>
            <w:noWrap w:val="0"/>
            <w:vAlign w:val="center"/>
          </w:tcPr>
          <w:p w14:paraId="20E25819">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噪声等级</w:t>
            </w:r>
          </w:p>
        </w:tc>
        <w:tc>
          <w:tcPr>
            <w:tcW w:w="2695" w:type="dxa"/>
            <w:tcBorders>
              <w:top w:val="single" w:color="000000" w:sz="4" w:space="0"/>
              <w:left w:val="single" w:color="000000" w:sz="4" w:space="0"/>
              <w:bottom w:val="single" w:color="000000" w:sz="4" w:space="0"/>
              <w:right w:val="single" w:color="000000" w:sz="4" w:space="0"/>
            </w:tcBorders>
            <w:noWrap w:val="0"/>
            <w:vAlign w:val="center"/>
          </w:tcPr>
          <w:p w14:paraId="0A7E8DFB">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噪声最大值dB</w:t>
            </w:r>
          </w:p>
        </w:tc>
      </w:tr>
      <w:tr w14:paraId="64086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2" w:type="dxa"/>
            <w:tcBorders>
              <w:top w:val="single" w:color="000000" w:sz="4" w:space="0"/>
              <w:left w:val="single" w:color="000000" w:sz="4" w:space="0"/>
              <w:bottom w:val="single" w:color="000000" w:sz="4" w:space="0"/>
              <w:right w:val="single" w:color="000000" w:sz="4" w:space="0"/>
            </w:tcBorders>
            <w:noWrap w:val="0"/>
            <w:vAlign w:val="center"/>
          </w:tcPr>
          <w:p w14:paraId="173E416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Ⅰ级</w:t>
            </w:r>
          </w:p>
        </w:tc>
        <w:tc>
          <w:tcPr>
            <w:tcW w:w="2695" w:type="dxa"/>
            <w:tcBorders>
              <w:top w:val="single" w:color="000000" w:sz="4" w:space="0"/>
              <w:left w:val="single" w:color="000000" w:sz="4" w:space="0"/>
              <w:bottom w:val="single" w:color="000000" w:sz="4" w:space="0"/>
              <w:right w:val="single" w:color="000000" w:sz="4" w:space="0"/>
            </w:tcBorders>
            <w:noWrap w:val="0"/>
            <w:vAlign w:val="center"/>
          </w:tcPr>
          <w:p w14:paraId="3117CC1F">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≤55</w:t>
            </w:r>
          </w:p>
        </w:tc>
      </w:tr>
      <w:tr w14:paraId="5B905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2" w:type="dxa"/>
            <w:tcBorders>
              <w:top w:val="single" w:color="000000" w:sz="4" w:space="0"/>
              <w:left w:val="single" w:color="000000" w:sz="4" w:space="0"/>
              <w:bottom w:val="single" w:color="000000" w:sz="4" w:space="0"/>
              <w:right w:val="single" w:color="000000" w:sz="4" w:space="0"/>
            </w:tcBorders>
            <w:noWrap w:val="0"/>
            <w:vAlign w:val="center"/>
          </w:tcPr>
          <w:p w14:paraId="32E89FFE">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Ⅱ级</w:t>
            </w:r>
          </w:p>
        </w:tc>
        <w:tc>
          <w:tcPr>
            <w:tcW w:w="2695" w:type="dxa"/>
            <w:tcBorders>
              <w:top w:val="single" w:color="000000" w:sz="4" w:space="0"/>
              <w:left w:val="single" w:color="000000" w:sz="4" w:space="0"/>
              <w:bottom w:val="single" w:color="000000" w:sz="4" w:space="0"/>
              <w:right w:val="single" w:color="000000" w:sz="4" w:space="0"/>
            </w:tcBorders>
            <w:noWrap w:val="0"/>
            <w:vAlign w:val="center"/>
          </w:tcPr>
          <w:p w14:paraId="2179AF0D">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55～80</w:t>
            </w:r>
          </w:p>
        </w:tc>
      </w:tr>
      <w:tr w14:paraId="57572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2" w:type="dxa"/>
            <w:tcBorders>
              <w:top w:val="single" w:color="000000" w:sz="4" w:space="0"/>
              <w:left w:val="single" w:color="000000" w:sz="4" w:space="0"/>
              <w:bottom w:val="single" w:color="000000" w:sz="4" w:space="0"/>
              <w:right w:val="single" w:color="000000" w:sz="4" w:space="0"/>
            </w:tcBorders>
            <w:noWrap w:val="0"/>
            <w:vAlign w:val="center"/>
          </w:tcPr>
          <w:p w14:paraId="0EBB0421">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Ⅲ级</w:t>
            </w:r>
          </w:p>
        </w:tc>
        <w:tc>
          <w:tcPr>
            <w:tcW w:w="2695" w:type="dxa"/>
            <w:tcBorders>
              <w:top w:val="single" w:color="000000" w:sz="4" w:space="0"/>
              <w:left w:val="single" w:color="000000" w:sz="4" w:space="0"/>
              <w:bottom w:val="single" w:color="000000" w:sz="4" w:space="0"/>
              <w:right w:val="single" w:color="000000" w:sz="4" w:space="0"/>
            </w:tcBorders>
            <w:noWrap w:val="0"/>
            <w:vAlign w:val="center"/>
          </w:tcPr>
          <w:p w14:paraId="64D60845">
            <w:pPr>
              <w:spacing w:line="360" w:lineRule="exac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＞80</w:t>
            </w:r>
          </w:p>
        </w:tc>
      </w:tr>
    </w:tbl>
    <w:p w14:paraId="60699A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根据不同的安装场所，充电机在使用时的噪声应符合</w:t>
      </w:r>
      <w:r>
        <w:rPr>
          <w:rFonts w:hint="eastAsia" w:ascii="宋体" w:hAnsi="宋体" w:eastAsia="宋体" w:cs="宋体"/>
          <w:color w:val="000000"/>
          <w:kern w:val="0"/>
          <w:sz w:val="21"/>
          <w:szCs w:val="21"/>
          <w:lang w:val="en-US" w:eastAsia="zh-CN"/>
        </w:rPr>
        <w:t>国标Ⅱ级</w:t>
      </w:r>
      <w:r>
        <w:rPr>
          <w:rFonts w:hint="eastAsia" w:ascii="宋体" w:hAnsi="宋体" w:eastAsia="宋体" w:cs="宋体"/>
          <w:color w:val="000000"/>
          <w:kern w:val="0"/>
          <w:sz w:val="21"/>
          <w:szCs w:val="21"/>
        </w:rPr>
        <w:t>的要求。</w:t>
      </w:r>
      <w:bookmarkEnd w:id="1"/>
    </w:p>
    <w:p w14:paraId="50F8C86C">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23F7D"/>
    <w:rsid w:val="28732DB6"/>
    <w:rsid w:val="58723F7D"/>
    <w:rsid w:val="739A0A38"/>
    <w:rsid w:val="76901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5"/>
    <w:qFormat/>
    <w:uiPriority w:val="0"/>
    <w:pPr>
      <w:spacing w:after="120"/>
    </w:pPr>
  </w:style>
  <w:style w:type="paragraph" w:styleId="5">
    <w:name w:val="Title"/>
    <w:basedOn w:val="1"/>
    <w:next w:val="1"/>
    <w:qFormat/>
    <w:uiPriority w:val="0"/>
    <w:pPr>
      <w:contextualSpacing/>
    </w:pPr>
    <w:rPr>
      <w:rFonts w:ascii="Calibri Light" w:hAnsi="Calibri Light"/>
      <w:spacing w:val="-10"/>
      <w:kern w:val="28"/>
      <w:sz w:val="56"/>
      <w:szCs w:val="56"/>
    </w:rPr>
  </w:style>
  <w:style w:type="paragraph" w:styleId="6">
    <w:name w:val="List"/>
    <w:basedOn w:val="1"/>
    <w:qFormat/>
    <w:uiPriority w:val="0"/>
    <w:pPr>
      <w:ind w:left="200" w:hanging="200" w:hanging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264</Words>
  <Characters>329</Characters>
  <Lines>0</Lines>
  <Paragraphs>0</Paragraphs>
  <TotalTime>0</TotalTime>
  <ScaleCrop>false</ScaleCrop>
  <LinksUpToDate>false</LinksUpToDate>
  <CharactersWithSpaces>329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2025-01-09T02:54:00Z</dcterms:created>
  <dc:creator>雷星昀</dc:creator>
  <cp:lastModifiedBy>雷星昀</cp:lastModifiedBy>
  <dcterms:modified xsi:type="dcterms:W3CDTF">2025-01-16T08:10:50Z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925595A1FAEC42A6ABA743B41C39D34D_11</vt:lpwstr>
  </property>
  <property fmtid="{D5CDD505-2E9C-101B-9397-08002B2CF9AE}" pid="4" name="KSOTemplateDocerSaveRecord">
    <vt:lpwstr>eyJoZGlkIjoiZGQ1NzQ5Yjg5NGIwYWU3ZjU1OWZiOGZjNmY3MTQ4NmMiLCJ1c2VySWQiOiIxMzM2Mzg1NSJ9</vt:lpwstr>
  </property>
</Properties>
</file>