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68162">
      <w:pPr>
        <w:jc w:val="both"/>
        <w:rPr>
          <w:rFonts w:hint="eastAsia" w:ascii="宋体" w:hAnsi="宋体" w:cs="宋体" w:eastAsiaTheme="minorEastAsia"/>
          <w:b/>
          <w:snapToGrid w:val="0"/>
          <w:spacing w:val="8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  <w:lang w:eastAsia="zh-CN"/>
        </w:rPr>
        <w:t>附件二：</w:t>
      </w:r>
    </w:p>
    <w:p w14:paraId="6CD95EE1">
      <w:pPr>
        <w:jc w:val="center"/>
        <w:rPr>
          <w:rFonts w:hint="eastAsia" w:ascii="宋体" w:hAnsi="宋体" w:eastAsia="宋体" w:cs="宋体"/>
          <w:b/>
          <w:snapToGrid w:val="0"/>
          <w:spacing w:val="8"/>
          <w:sz w:val="28"/>
          <w:szCs w:val="28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</w:t>
      </w:r>
    </w:p>
    <w:p w14:paraId="6A19D685">
      <w:pPr>
        <w:ind w:firstLine="560" w:firstLineChars="200"/>
        <w:jc w:val="center"/>
        <w:rPr>
          <w:rFonts w:hint="eastAsia" w:ascii="宋体" w:hAnsi="宋体" w:cs="宋体"/>
          <w:sz w:val="28"/>
          <w:szCs w:val="28"/>
        </w:rPr>
      </w:pPr>
    </w:p>
    <w:tbl>
      <w:tblPr>
        <w:tblStyle w:val="11"/>
        <w:tblW w:w="96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6534"/>
        <w:gridCol w:w="837"/>
        <w:gridCol w:w="1038"/>
      </w:tblGrid>
      <w:tr w14:paraId="6630E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7C47A506">
            <w:pPr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 xml:space="preserve">                                             合作商名称</w:t>
            </w:r>
          </w:p>
          <w:p w14:paraId="6392C8EB">
            <w:pPr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评分项及分值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32D563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合作商</w:t>
            </w:r>
          </w:p>
        </w:tc>
      </w:tr>
      <w:tr w14:paraId="783B5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7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E1A5D28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评分项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74D5E5">
            <w:pPr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分值标准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3E9087">
            <w:pPr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4B9580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CB3899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投资改造投入</w:t>
            </w:r>
          </w:p>
          <w:p w14:paraId="6A4703FF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（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分）</w:t>
            </w:r>
          </w:p>
        </w:tc>
        <w:tc>
          <w:tcPr>
            <w:tcW w:w="6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71333D">
            <w:pPr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项目对8个场站进行改造与建设。投入资金不低于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00万元，且场站内至少建设102个充电车位，以满足日益增长的电动汽车充电需求。投入资金每增加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万元加2分，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本项满分8分。（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800万元不得分）</w:t>
            </w:r>
          </w:p>
          <w:p w14:paraId="66B8771C">
            <w:pPr>
              <w:rPr>
                <w:rFonts w:hint="default" w:ascii="宋体" w:hAnsi="宋体" w:cs="宋体" w:eastAsiaTheme="minorEastAsia"/>
                <w:iCs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C790B0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0-8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068E7F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FE67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7BB43B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实施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方案（30分）</w:t>
            </w:r>
          </w:p>
        </w:tc>
        <w:tc>
          <w:tcPr>
            <w:tcW w:w="6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E2143">
            <w:pP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提供项目的详细实施方案，针对本项目的需求制定项目实施方案：包括但不限于现场调研情况、建设方案（含高压部分）、运营方案、服务费定价、充电用户结算、人员安排等，横向比较，综合评分。优秀30-21分，良好20-11分，较差10-1分，不提供0分。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0EDB69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0-30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041D57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62D01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32D900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shd w:val="clear" w:color="auto" w:fill="auto"/>
              </w:rPr>
              <w:t>充电设备功能</w:t>
            </w:r>
          </w:p>
          <w:p w14:paraId="475971E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（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分）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D72DFEA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1、远程升级：可通过云平台远程更新控制单元程序，降低运维成本，得1分；</w:t>
            </w:r>
          </w:p>
          <w:p w14:paraId="4B04F4AA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2、充电设备与充电管理平台连接时间≤5s，得1分；</w:t>
            </w:r>
          </w:p>
          <w:p w14:paraId="182B03BD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3、分体式充电设备直流输出侧应配置高压直流熔断器，具备短路保护功能，分断能力不低于50kA，得1分；</w:t>
            </w:r>
          </w:p>
          <w:p w14:paraId="453B254E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4、充电设备可以兼容常规充电终端、广告屏式充电终端、液冷超充充电终端等。可以任意选择一种或多种类型充电终端接入同一套充电设备，得1分；</w:t>
            </w:r>
          </w:p>
          <w:p w14:paraId="0912EB4B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5、充电机具备泄放回路保护，当泄放回路失效时，充电机能够及时采取保护措施，保护操作人员与设备安全的，得1分；</w:t>
            </w:r>
          </w:p>
          <w:p w14:paraId="35D95A70">
            <w:pPr>
              <w:pStyle w:val="5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注：本项共5分，以具有CMA和CNAS资质的权威检测机构出具的480kW或以上充电设备检测报告里面标明的内容为准，提供检验报告复印件，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  <w:lang w:val="en-US" w:eastAsia="zh-CN"/>
              </w:rPr>
              <w:t>针对评分内容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做明显标记并加盖投标人公章附在投标文件中，否则不得分。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E6F4B62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3EABE07E">
            <w:pPr>
              <w:pStyle w:val="2"/>
              <w:rPr>
                <w:rFonts w:hint="eastAsia" w:ascii="宋体" w:hAnsi="宋体" w:cs="宋体"/>
                <w:color w:val="auto"/>
                <w:highlight w:val="none"/>
              </w:rPr>
            </w:pPr>
          </w:p>
        </w:tc>
      </w:tr>
      <w:tr w14:paraId="5838B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4A217F">
            <w:pP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服务团队人员配备（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分）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56B8B931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项目经理1人，具备一级及以上建造师（机电工程）得1分，具备中级工程师得0.5分，具备高级工程师得1分；</w:t>
            </w:r>
          </w:p>
          <w:p w14:paraId="572D2F82">
            <w:pPr>
              <w:numPr>
                <w:ilvl w:val="0"/>
                <w:numId w:val="1"/>
              </w:numP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项目技术负责人1人，具备高级工程师得0.5分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  <w:lang w:eastAsia="zh-CN"/>
              </w:rPr>
              <w:t>。</w:t>
            </w:r>
          </w:p>
          <w:p w14:paraId="612F5CDC">
            <w:pPr>
              <w:tabs>
                <w:tab w:val="left" w:pos="312"/>
              </w:tabs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本项最高得3分,不提供不得分。(以上须提供其相关证书证明材料及2024年1月至今任意3个月合作方为其缴纳的社保证明材料，退休返聘人员需提供人员劳动合同，并加盖公章)。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710A51FD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0-3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33F85098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FDEC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2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D65F29">
            <w:pP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shd w:val="clear" w:color="auto" w:fill="auto"/>
                <w:lang w:bidi="ar"/>
              </w:rPr>
            </w:pPr>
          </w:p>
        </w:tc>
        <w:tc>
          <w:tcPr>
            <w:tcW w:w="65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80D5586">
            <w:pP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shd w:val="clear" w:color="auto" w:fill="auto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2.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拟投入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运维管理人员（2.5分）：运维管理人员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5人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  <w:lang w:val="en-US" w:eastAsia="zh-CN"/>
              </w:rPr>
              <w:t>每提供一名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具备质量员或机械员或资料员或劳务员或施工员或材料员。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  <w:shd w:val="clear" w:color="auto" w:fill="auto"/>
              </w:rPr>
              <w:t>以上人员每提供一个证书得0.5分，本项最高得2.5分,不提供不得分。(以上须提供其相关证书证明材料及2024年1月至今任意3个月合作方为其缴纳的社保证明材料，并加盖公章)。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296E745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0-2.5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523329FE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7C425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2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5D8179">
            <w:pP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5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2B3CED41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3.拟投入运营管理人员（0.5分）：运营管理人员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1人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，运营管理人员具备中级工程师（电气）或中级工程师（机电）。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以上人员每提供一个证书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得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0.5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分，本项最高得0.5分,不提供不得分。(以上须提供其相关证书证明材料及2024年1月至今任意3个月合作方为其缴纳的社保证明材料，并加盖公章)。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5B669879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0-0.5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09F44D33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043E0B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2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410CFC">
            <w:pP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</w:p>
        </w:tc>
        <w:tc>
          <w:tcPr>
            <w:tcW w:w="6534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6F9BD352">
            <w:pP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4.售后服务管理人员（1分）：售后服务管理人员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2人，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每提供一名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具备特种作业操作证（高压电工作业）证书或特种作业操作证（电气试验作业）证书或特种作业操作证（继电保护作业）证书，</w:t>
            </w: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以上人员每提供一个证书得0.5分，本项最高得1分,不提供不得分。(以上须提供其相关证书证明材料及2024年1月至今任意3个月合作方为其缴纳的社保证明材料，并加盖公章)。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806DE56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0-1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 w14:paraId="4A8C524C">
            <w:pPr>
              <w:jc w:val="center"/>
              <w:rPr>
                <w:rFonts w:hint="eastAsia" w:ascii="宋体" w:hAnsi="宋体" w:cs="宋体"/>
                <w:color w:val="auto"/>
                <w:szCs w:val="21"/>
                <w:highlight w:val="none"/>
              </w:rPr>
            </w:pPr>
          </w:p>
        </w:tc>
      </w:tr>
      <w:tr w14:paraId="2E29DA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331DA">
            <w:pPr>
              <w:jc w:val="left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价格分</w:t>
            </w:r>
          </w:p>
          <w:p w14:paraId="3BDC6597">
            <w:pPr>
              <w:jc w:val="left"/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iCs/>
                <w:color w:val="auto"/>
                <w:szCs w:val="21"/>
                <w:highlight w:val="none"/>
              </w:rPr>
              <w:t>（50分）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7AC27C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价格分由两个部分组成：保底收益金10分（报年度保底收益额）+浮动收益金40分（报费率）。</w:t>
            </w:r>
          </w:p>
          <w:p w14:paraId="211022DB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各部分评分办法如下：</w:t>
            </w:r>
          </w:p>
          <w:p w14:paraId="20310353">
            <w:pP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1、保底收益金（10分）：</w:t>
            </w:r>
            <w:bookmarkStart w:id="0" w:name="_GoBack"/>
            <w:bookmarkEnd w:id="0"/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①保底收益不低于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23.3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万元/年，所报价格从高到低排序，第一名10分，第二名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分，第三名及以后3分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</w:t>
            </w:r>
          </w:p>
          <w:p w14:paraId="6C944ADA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2、浮动收益金（40）：</w:t>
            </w:r>
          </w:p>
          <w:p w14:paraId="758720FA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浮动收益率得40分为以下序号①+②合计组成。</w:t>
            </w:r>
          </w:p>
          <w:p w14:paraId="07DEF0BC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①公交新能源车辆年度应付浮动收益=项目年度公交车充电服务费净收益×A%，第一名30分，第二名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分，第三名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分，第四名及以后5分。</w:t>
            </w:r>
          </w:p>
          <w:p w14:paraId="327B725C">
            <w:pP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②社会新能源车辆年度应付浮动收益=项目年度社会车充电服务费净收益×B%，第一名10分，第二名</w:t>
            </w:r>
            <w:r>
              <w:rPr>
                <w:rFonts w:hint="eastAsia" w:ascii="宋体" w:hAnsi="宋体" w:cs="宋体"/>
                <w:iCs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</w:rPr>
              <w:t>分，第三名3分，第四名及以后1分</w:t>
            </w:r>
            <w:r>
              <w:rPr>
                <w:rFonts w:hint="eastAsia" w:ascii="宋体" w:hAnsi="宋体" w:cs="宋体" w:eastAsiaTheme="minorEastAsia"/>
                <w:iCs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AEFD0F">
            <w:pPr>
              <w:adjustRightInd w:val="0"/>
              <w:snapToGrid w:val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0-50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F06EF">
            <w:pPr>
              <w:jc w:val="center"/>
              <w:rPr>
                <w:color w:val="auto"/>
                <w:highlight w:val="none"/>
              </w:rPr>
            </w:pPr>
          </w:p>
        </w:tc>
      </w:tr>
      <w:tr w14:paraId="1D252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48012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合计</w:t>
            </w:r>
          </w:p>
        </w:tc>
        <w:tc>
          <w:tcPr>
            <w:tcW w:w="6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A1ED82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highlight w:val="none"/>
              </w:rPr>
              <w:t>100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216C31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407715">
            <w:pPr>
              <w:jc w:val="center"/>
              <w:rPr>
                <w:color w:val="auto"/>
                <w:highlight w:val="none"/>
              </w:rPr>
            </w:pPr>
          </w:p>
        </w:tc>
      </w:tr>
    </w:tbl>
    <w:p w14:paraId="3660D4DD">
      <w:pPr>
        <w:spacing w:line="440" w:lineRule="exact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3BD2F95A">
      <w:pPr>
        <w:spacing w:line="440" w:lineRule="exact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27B4CE15">
      <w:pPr>
        <w:pStyle w:val="10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5E52D40B">
      <w:pPr>
        <w:spacing w:before="120" w:beforeLines="50" w:after="120" w:afterLines="50"/>
        <w:rPr>
          <w:rFonts w:hint="eastAsia" w:ascii="宋体" w:hAnsi="宋体" w:cs="宋体"/>
        </w:rPr>
      </w:pPr>
    </w:p>
    <w:p w14:paraId="2A9D90B9"/>
    <w:p w14:paraId="79C5E42B"/>
    <w:sectPr>
      <w:headerReference r:id="rId3" w:type="default"/>
      <w:footerReference r:id="rId4" w:type="default"/>
      <w:footerReference r:id="rId5" w:type="even"/>
      <w:pgSz w:w="11907" w:h="16840"/>
      <w:pgMar w:top="1531" w:right="1418" w:bottom="1361" w:left="1418" w:header="720" w:footer="720" w:gutter="0"/>
      <w:cols w:space="72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7C534"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" cy="16129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505E9A7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2.7pt;width:10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1hKWO9EAAAADAQAADwAAAAAAAAABACAAAAAiAAAAZHJzL2Rvd25yZXYueG1sUEsB&#10;AhQAFAAAAAgAh07iQJYc/NI1AgAAYQQAAA4AAAAAAAAAAQAgAAAAI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05E9A7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4BC54337"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112D6C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B45D13">
    <w:pPr>
      <w:pStyle w:val="8"/>
      <w:jc w:val="right"/>
    </w:pPr>
    <w:r>
      <w:rPr>
        <w:rFonts w:hint="eastAsia"/>
      </w:rPr>
      <w:t>贵州阳光产权交易所有限公司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32D1C9"/>
    <w:multiLevelType w:val="singleLevel"/>
    <w:tmpl w:val="E232D1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4YTIxOGZlOTc2NzNhMmU5ZDFhNDU1MWYxZWE3NWUifQ=="/>
  </w:docVars>
  <w:rsids>
    <w:rsidRoot w:val="00EA73A2"/>
    <w:rsid w:val="00006741"/>
    <w:rsid w:val="00007C1C"/>
    <w:rsid w:val="000222B3"/>
    <w:rsid w:val="00022AA7"/>
    <w:rsid w:val="00067452"/>
    <w:rsid w:val="00071FF0"/>
    <w:rsid w:val="000B54ED"/>
    <w:rsid w:val="000E1582"/>
    <w:rsid w:val="000E701E"/>
    <w:rsid w:val="000F290E"/>
    <w:rsid w:val="00132347"/>
    <w:rsid w:val="00142620"/>
    <w:rsid w:val="001567B3"/>
    <w:rsid w:val="00161A9A"/>
    <w:rsid w:val="00163B3B"/>
    <w:rsid w:val="001771CC"/>
    <w:rsid w:val="00195E30"/>
    <w:rsid w:val="001C4F34"/>
    <w:rsid w:val="00225F23"/>
    <w:rsid w:val="00234BC9"/>
    <w:rsid w:val="002516EB"/>
    <w:rsid w:val="00253F8C"/>
    <w:rsid w:val="002545F4"/>
    <w:rsid w:val="002B588E"/>
    <w:rsid w:val="002C57F4"/>
    <w:rsid w:val="002E45C9"/>
    <w:rsid w:val="00311890"/>
    <w:rsid w:val="00346B7B"/>
    <w:rsid w:val="00385380"/>
    <w:rsid w:val="003C11A3"/>
    <w:rsid w:val="003D7143"/>
    <w:rsid w:val="003F1BC1"/>
    <w:rsid w:val="00420F42"/>
    <w:rsid w:val="00423FFC"/>
    <w:rsid w:val="0044247F"/>
    <w:rsid w:val="00444D3C"/>
    <w:rsid w:val="004F365F"/>
    <w:rsid w:val="0052188E"/>
    <w:rsid w:val="00554E5F"/>
    <w:rsid w:val="00592F16"/>
    <w:rsid w:val="005A3D6A"/>
    <w:rsid w:val="005D3715"/>
    <w:rsid w:val="006743DB"/>
    <w:rsid w:val="00685B69"/>
    <w:rsid w:val="006C552A"/>
    <w:rsid w:val="006E68A9"/>
    <w:rsid w:val="006F2A20"/>
    <w:rsid w:val="00721A96"/>
    <w:rsid w:val="007718D4"/>
    <w:rsid w:val="0077547D"/>
    <w:rsid w:val="007E68C8"/>
    <w:rsid w:val="007E715A"/>
    <w:rsid w:val="00806880"/>
    <w:rsid w:val="00843296"/>
    <w:rsid w:val="0086600D"/>
    <w:rsid w:val="00871CAC"/>
    <w:rsid w:val="00882A07"/>
    <w:rsid w:val="008C2B87"/>
    <w:rsid w:val="008C5669"/>
    <w:rsid w:val="00925E86"/>
    <w:rsid w:val="0094792B"/>
    <w:rsid w:val="009A26D1"/>
    <w:rsid w:val="009A7734"/>
    <w:rsid w:val="009E16AE"/>
    <w:rsid w:val="009E1AE0"/>
    <w:rsid w:val="009E6D48"/>
    <w:rsid w:val="009F22B7"/>
    <w:rsid w:val="00A07CDE"/>
    <w:rsid w:val="00A1043E"/>
    <w:rsid w:val="00AA6304"/>
    <w:rsid w:val="00AD5420"/>
    <w:rsid w:val="00AF7253"/>
    <w:rsid w:val="00B32ABC"/>
    <w:rsid w:val="00B44C67"/>
    <w:rsid w:val="00B617BB"/>
    <w:rsid w:val="00BB5D9C"/>
    <w:rsid w:val="00C12084"/>
    <w:rsid w:val="00C42F48"/>
    <w:rsid w:val="00C43901"/>
    <w:rsid w:val="00C53637"/>
    <w:rsid w:val="00C72275"/>
    <w:rsid w:val="00C970C0"/>
    <w:rsid w:val="00CA1D29"/>
    <w:rsid w:val="00CC4126"/>
    <w:rsid w:val="00CD2955"/>
    <w:rsid w:val="00CE31DB"/>
    <w:rsid w:val="00D42F7E"/>
    <w:rsid w:val="00D969EF"/>
    <w:rsid w:val="00D973DA"/>
    <w:rsid w:val="00DB36E3"/>
    <w:rsid w:val="00DF0942"/>
    <w:rsid w:val="00E2586B"/>
    <w:rsid w:val="00E349CE"/>
    <w:rsid w:val="00E71B40"/>
    <w:rsid w:val="00E91144"/>
    <w:rsid w:val="00E968B6"/>
    <w:rsid w:val="00EA73A2"/>
    <w:rsid w:val="00ED197D"/>
    <w:rsid w:val="00EE284F"/>
    <w:rsid w:val="00F10910"/>
    <w:rsid w:val="00F23612"/>
    <w:rsid w:val="00F23650"/>
    <w:rsid w:val="00F2556D"/>
    <w:rsid w:val="00F349A2"/>
    <w:rsid w:val="00F36D7E"/>
    <w:rsid w:val="00F956BD"/>
    <w:rsid w:val="00FC153A"/>
    <w:rsid w:val="00FD1EA4"/>
    <w:rsid w:val="00FD5069"/>
    <w:rsid w:val="00FF1B82"/>
    <w:rsid w:val="03FE61E6"/>
    <w:rsid w:val="0B342B8C"/>
    <w:rsid w:val="0D562D16"/>
    <w:rsid w:val="0E626F00"/>
    <w:rsid w:val="1CE7780B"/>
    <w:rsid w:val="2004222D"/>
    <w:rsid w:val="200720B2"/>
    <w:rsid w:val="26F3547E"/>
    <w:rsid w:val="296733D6"/>
    <w:rsid w:val="2A685742"/>
    <w:rsid w:val="2CC716AB"/>
    <w:rsid w:val="32A3644A"/>
    <w:rsid w:val="339540FB"/>
    <w:rsid w:val="3F340649"/>
    <w:rsid w:val="40515070"/>
    <w:rsid w:val="45384EDD"/>
    <w:rsid w:val="54014F41"/>
    <w:rsid w:val="544534B9"/>
    <w:rsid w:val="61DC4915"/>
    <w:rsid w:val="6279236F"/>
    <w:rsid w:val="6441028B"/>
    <w:rsid w:val="7CEA1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99"/>
    <w:pPr>
      <w:spacing w:after="120"/>
    </w:pPr>
    <w:rPr>
      <w:rFonts w:ascii="Calibri" w:hAnsi="Calibri"/>
      <w:szCs w:val="22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next w:val="10"/>
    <w:qFormat/>
    <w:uiPriority w:val="0"/>
    <w:rPr>
      <w:rFonts w:hint="eastAsia" w:ascii="宋体" w:hAnsi="宋体"/>
      <w:szCs w:val="20"/>
    </w:rPr>
  </w:style>
  <w:style w:type="paragraph" w:customStyle="1" w:styleId="10">
    <w:name w:val="正文-公1"/>
    <w:basedOn w:val="1"/>
    <w:next w:val="9"/>
    <w:qFormat/>
    <w:uiPriority w:val="99"/>
    <w:rPr>
      <w:color w:val="000000"/>
    </w:rPr>
  </w:style>
  <w:style w:type="character" w:styleId="13">
    <w:name w:val="page number"/>
    <w:qFormat/>
    <w:uiPriority w:val="99"/>
    <w:rPr>
      <w:rFonts w:ascii="Calibri" w:hAnsi="Calibri" w:eastAsia="宋体" w:cs="Times New Roman"/>
    </w:rPr>
  </w:style>
  <w:style w:type="character" w:styleId="14">
    <w:name w:val="Hyperlink"/>
    <w:basedOn w:val="12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font21"/>
    <w:basedOn w:val="12"/>
    <w:qFormat/>
    <w:uiPriority w:val="0"/>
    <w:rPr>
      <w:rFonts w:hint="eastAsia" w:ascii="仿宋" w:hAnsi="仿宋" w:eastAsia="仿宋" w:cs="仿宋"/>
      <w:color w:val="000000"/>
      <w:sz w:val="16"/>
      <w:szCs w:val="16"/>
      <w:u w:val="none"/>
    </w:rPr>
  </w:style>
  <w:style w:type="character" w:customStyle="1" w:styleId="17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1450</Words>
  <Characters>1557</Characters>
  <Lines>12</Lines>
  <Paragraphs>3</Paragraphs>
  <TotalTime>74</TotalTime>
  <ScaleCrop>false</ScaleCrop>
  <LinksUpToDate>false</LinksUpToDate>
  <CharactersWithSpaces>1608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2024-12-27T08:44:00Z</dcterms:created>
  <dc:creator>cj</dc:creator>
  <cp:lastModifiedBy>雷星昀</cp:lastModifiedBy>
  <cp:lastPrinted>2024-08-29T14:59:00Z</cp:lastPrinted>
  <dcterms:modified xsi:type="dcterms:W3CDTF">2025-01-16T07:45:43Z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F42B2150403C42D4B47CC24F11EFF75B_13</vt:lpwstr>
  </property>
  <property fmtid="{D5CDD505-2E9C-101B-9397-08002B2CF9AE}" pid="4" name="KSOTemplateDocerSaveRecord">
    <vt:lpwstr>eyJoZGlkIjoiZGQ1NzQ5Yjg5NGIwYWU3ZjU1OWZiOGZjNmY3MTQ4NmMiLCJ1c2VySWQiOiIxMzM2Mzg1NSJ9</vt:lpwstr>
  </property>
</Properties>
</file>